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方正小标宋简体" w:hAnsi="方正小标宋简体" w:eastAsia="方正小标宋简体" w:cs="方正小标宋简体"/>
          <w:b w:val="0"/>
          <w:bCs/>
          <w:spacing w:val="11"/>
          <w:kern w:val="0"/>
          <w:sz w:val="44"/>
          <w:szCs w:val="44"/>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方正小标宋简体" w:hAnsi="方正小标宋简体" w:eastAsia="方正小标宋简体" w:cs="方正小标宋简体"/>
          <w:b w:val="0"/>
          <w:bCs/>
          <w:spacing w:val="11"/>
          <w:kern w:val="0"/>
          <w:sz w:val="44"/>
          <w:szCs w:val="44"/>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方正小标宋简体" w:hAnsi="方正小标宋简体" w:eastAsia="方正小标宋简体" w:cs="方正小标宋简体"/>
          <w:b w:val="0"/>
          <w:bCs/>
          <w:spacing w:val="11"/>
          <w:kern w:val="0"/>
          <w:sz w:val="44"/>
          <w:szCs w:val="44"/>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方正小标宋简体" w:hAnsi="方正小标宋简体" w:eastAsia="方正小标宋简体" w:cs="方正小标宋简体"/>
          <w:b w:val="0"/>
          <w:bCs/>
          <w:spacing w:val="11"/>
          <w:kern w:val="0"/>
          <w:sz w:val="44"/>
          <w:szCs w:val="44"/>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方正小标宋简体" w:hAnsi="方正小标宋简体" w:eastAsia="方正小标宋简体" w:cs="方正小标宋简体"/>
          <w:b w:val="0"/>
          <w:bCs/>
          <w:spacing w:val="11"/>
          <w:kern w:val="0"/>
          <w:sz w:val="44"/>
          <w:szCs w:val="44"/>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方正小标宋简体" w:hAnsi="方正小标宋简体" w:eastAsia="方正小标宋简体" w:cs="方正小标宋简体"/>
          <w:b w:val="0"/>
          <w:bCs/>
          <w:spacing w:val="11"/>
          <w:kern w:val="0"/>
          <w:sz w:val="44"/>
          <w:szCs w:val="44"/>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方正小标宋简体" w:hAnsi="方正小标宋简体" w:eastAsia="方正小标宋简体" w:cs="方正小标宋简体"/>
          <w:b w:val="0"/>
          <w:bCs/>
          <w:spacing w:val="11"/>
          <w:kern w:val="0"/>
          <w:sz w:val="44"/>
          <w:szCs w:val="44"/>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方正小标宋简体" w:hAnsi="方正小标宋简体" w:eastAsia="方正小标宋简体" w:cs="方正小标宋简体"/>
          <w:b w:val="0"/>
          <w:bCs/>
          <w:spacing w:val="11"/>
          <w:kern w:val="0"/>
          <w:sz w:val="44"/>
          <w:szCs w:val="44"/>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方正小标宋简体" w:hAnsi="方正小标宋简体" w:eastAsia="方正小标宋简体" w:cs="方正小标宋简体"/>
          <w:b w:val="0"/>
          <w:bCs/>
          <w:spacing w:val="11"/>
          <w:kern w:val="0"/>
          <w:sz w:val="44"/>
          <w:szCs w:val="44"/>
        </w:rPr>
      </w:pPr>
      <w:r>
        <w:rPr>
          <w:rFonts w:hint="eastAsia" w:ascii="方正小标宋简体" w:hAnsi="方正小标宋简体" w:eastAsia="方正小标宋简体" w:cs="方正小标宋简体"/>
          <w:b w:val="0"/>
          <w:bCs/>
          <w:spacing w:val="11"/>
          <w:kern w:val="0"/>
          <w:sz w:val="44"/>
          <w:szCs w:val="44"/>
        </w:rPr>
        <w:t>呼伦贝尔市人大常委会办公厅</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方正小标宋简体" w:hAnsi="方正小标宋简体" w:eastAsia="方正小标宋简体" w:cs="方正小标宋简体"/>
          <w:b w:val="0"/>
          <w:bCs/>
          <w:spacing w:val="11"/>
          <w:kern w:val="0"/>
          <w:sz w:val="44"/>
          <w:szCs w:val="44"/>
        </w:rPr>
      </w:pPr>
      <w:r>
        <w:rPr>
          <w:rFonts w:hint="eastAsia" w:ascii="方正小标宋简体" w:hAnsi="方正小标宋简体" w:eastAsia="方正小标宋简体" w:cs="方正小标宋简体"/>
          <w:b w:val="0"/>
          <w:bCs/>
          <w:spacing w:val="11"/>
          <w:kern w:val="0"/>
          <w:sz w:val="44"/>
          <w:szCs w:val="44"/>
        </w:rPr>
        <w:t>2018年度决算公开报告</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jc w:val="center"/>
        <w:textAlignment w:val="auto"/>
        <w:rPr>
          <w:rFonts w:hint="eastAsia" w:ascii="仿宋_GB2312" w:hAnsi="仿宋_GB2312" w:eastAsia="仿宋_GB2312" w:cs="仿宋_GB2312"/>
          <w:b/>
          <w:spacing w:val="11"/>
          <w:kern w:val="0"/>
          <w:sz w:val="32"/>
          <w:szCs w:val="32"/>
        </w:rPr>
      </w:pPr>
      <w:r>
        <w:rPr>
          <w:rFonts w:hint="eastAsia" w:ascii="仿宋_GB2312" w:hAnsi="仿宋_GB2312" w:eastAsia="仿宋_GB2312" w:cs="仿宋_GB2312"/>
          <w:b/>
          <w:spacing w:val="11"/>
          <w:kern w:val="0"/>
          <w:sz w:val="32"/>
          <w:szCs w:val="32"/>
        </w:rPr>
        <w:t xml:space="preserve"> </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jc w:val="center"/>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jc w:val="center"/>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jc w:val="center"/>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jc w:val="center"/>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jc w:val="center"/>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jc w:val="center"/>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jc w:val="center"/>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jc w:val="center"/>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jc w:val="center"/>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jc w:val="center"/>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right="0"/>
        <w:jc w:val="center"/>
        <w:textAlignment w:val="auto"/>
        <w:rPr>
          <w:rFonts w:hint="eastAsia" w:ascii="黑体" w:hAnsi="黑体" w:eastAsia="黑体" w:cs="黑体"/>
          <w:b w:val="0"/>
          <w:bCs/>
          <w:spacing w:val="11"/>
          <w:kern w:val="0"/>
          <w:sz w:val="32"/>
          <w:szCs w:val="32"/>
        </w:rPr>
      </w:pPr>
      <w:r>
        <w:rPr>
          <w:rFonts w:hint="eastAsia" w:ascii="黑体" w:hAnsi="黑体" w:eastAsia="黑体" w:cs="黑体"/>
          <w:b w:val="0"/>
          <w:bCs/>
          <w:spacing w:val="11"/>
          <w:kern w:val="0"/>
          <w:sz w:val="32"/>
          <w:szCs w:val="32"/>
        </w:rPr>
        <w:t>目</w:t>
      </w:r>
      <w:r>
        <w:rPr>
          <w:rFonts w:hint="eastAsia" w:ascii="黑体" w:hAnsi="黑体" w:eastAsia="黑体" w:cs="黑体"/>
          <w:b w:val="0"/>
          <w:bCs/>
          <w:spacing w:val="11"/>
          <w:kern w:val="0"/>
          <w:sz w:val="32"/>
          <w:szCs w:val="32"/>
          <w:lang w:val="en-US" w:eastAsia="zh-CN"/>
        </w:rPr>
        <w:t xml:space="preserve">  </w:t>
      </w:r>
      <w:r>
        <w:rPr>
          <w:rFonts w:hint="eastAsia" w:ascii="黑体" w:hAnsi="黑体" w:eastAsia="黑体" w:cs="黑体"/>
          <w:b w:val="0"/>
          <w:bCs/>
          <w:spacing w:val="11"/>
          <w:kern w:val="0"/>
          <w:sz w:val="32"/>
          <w:szCs w:val="32"/>
        </w:rPr>
        <w:t>录</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黑体" w:cs="Times New Roman"/>
          <w:b/>
          <w:sz w:val="32"/>
          <w:szCs w:val="32"/>
          <w:lang w:val="en-US"/>
        </w:rPr>
      </w:pPr>
      <w:r>
        <w:rPr>
          <w:rFonts w:ascii="黑体" w:hAnsi="Times New Roman" w:eastAsia="黑体" w:cs="黑体"/>
          <w:b/>
          <w:sz w:val="32"/>
          <w:szCs w:val="32"/>
        </w:rPr>
        <w:t>第一部分 部门基本情况</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一、部门职能</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二、机构设置及单位构成情况</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黑体" w:cs="Times New Roman"/>
          <w:b/>
          <w:sz w:val="32"/>
          <w:szCs w:val="32"/>
          <w:lang w:val="en-US"/>
        </w:rPr>
      </w:pPr>
      <w:r>
        <w:rPr>
          <w:rFonts w:hint="eastAsia" w:ascii="黑体" w:hAnsi="Times New Roman" w:eastAsia="黑体" w:cs="黑体"/>
          <w:b/>
          <w:sz w:val="32"/>
          <w:szCs w:val="32"/>
        </w:rPr>
        <w:t>第二部分</w:t>
      </w:r>
      <w:r>
        <w:rPr>
          <w:rFonts w:hint="eastAsia" w:ascii="黑体" w:hAnsi="Times New Roman" w:eastAsia="黑体" w:cs="黑体"/>
          <w:b/>
          <w:sz w:val="32"/>
          <w:szCs w:val="32"/>
          <w:lang w:val="en-US"/>
        </w:rPr>
        <w:t xml:space="preserve"> </w:t>
      </w:r>
      <w:r>
        <w:rPr>
          <w:rFonts w:hint="eastAsia" w:ascii="黑体" w:hAnsi="Times New Roman" w:eastAsia="黑体" w:cs="黑体"/>
          <w:b/>
          <w:sz w:val="32"/>
          <w:szCs w:val="32"/>
        </w:rPr>
        <w:t>2018年度部门决算情况说明</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一、关于2018年度预算执行情况分析</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二、关于2018年度决算情况说明</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（一）关于收支情况总体说明</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（二）关于2018年度收入决算情况说明</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（三）关于2018年度支出决算情况说明</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（四）关于2018年度财政拨款收入支出决算总体情况说明</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（五）关于2018年度一般公共预算财政拨款支出决算情况说明</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（六）关于2018年度一般公共预算财政拨款基本支出决算情况说明</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（七）关于2018年度财政拨款</w:t>
      </w:r>
      <w:r>
        <w:rPr>
          <w:rFonts w:hint="default" w:ascii="Times New Roman" w:hAnsi="Times New Roman" w:eastAsia="仿宋_GB2312" w:cs="Times New Roman"/>
          <w:sz w:val="32"/>
          <w:szCs w:val="32"/>
          <w:lang w:val="en-US"/>
        </w:rPr>
        <w:t>“</w:t>
      </w:r>
      <w:r>
        <w:rPr>
          <w:rFonts w:hint="default" w:ascii="仿宋_GB2312" w:hAnsi="Times New Roman" w:eastAsia="仿宋_GB2312" w:cs="仿宋_GB2312"/>
          <w:sz w:val="32"/>
          <w:szCs w:val="32"/>
        </w:rPr>
        <w:t>三公</w:t>
      </w:r>
      <w:r>
        <w:rPr>
          <w:rFonts w:hint="default" w:ascii="Times New Roman" w:hAnsi="Times New Roman" w:eastAsia="仿宋_GB2312" w:cs="Times New Roman"/>
          <w:sz w:val="32"/>
          <w:szCs w:val="32"/>
          <w:lang w:val="en-US"/>
        </w:rPr>
        <w:t>”</w:t>
      </w:r>
      <w:r>
        <w:rPr>
          <w:rFonts w:hint="default" w:ascii="仿宋_GB2312" w:hAnsi="Times New Roman" w:eastAsia="仿宋_GB2312" w:cs="仿宋_GB2312"/>
          <w:sz w:val="32"/>
          <w:szCs w:val="32"/>
        </w:rPr>
        <w:t>经费支出决算情况说明</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val="en-US"/>
        </w:rPr>
        <w:tab/>
      </w:r>
      <w:r>
        <w:rPr>
          <w:rFonts w:hint="default" w:ascii="仿宋_GB2312" w:hAnsi="Times New Roman" w:eastAsia="仿宋_GB2312" w:cs="仿宋_GB2312"/>
          <w:sz w:val="32"/>
          <w:szCs w:val="32"/>
          <w:lang w:val="en-US"/>
        </w:rPr>
        <w:t>1</w:t>
      </w:r>
      <w:r>
        <w:rPr>
          <w:rFonts w:hint="default" w:ascii="仿宋_GB2312" w:hAnsi="Times New Roman" w:eastAsia="仿宋_GB2312" w:cs="仿宋_GB2312"/>
          <w:sz w:val="32"/>
          <w:szCs w:val="32"/>
        </w:rPr>
        <w:t>、</w:t>
      </w:r>
      <w:r>
        <w:rPr>
          <w:rFonts w:hint="default" w:ascii="Times New Roman" w:hAnsi="Times New Roman" w:eastAsia="仿宋_GB2312" w:cs="Times New Roman"/>
          <w:sz w:val="32"/>
          <w:szCs w:val="32"/>
          <w:lang w:val="en-US"/>
        </w:rPr>
        <w:t>“</w:t>
      </w:r>
      <w:r>
        <w:rPr>
          <w:rFonts w:hint="default" w:ascii="仿宋_GB2312" w:hAnsi="Times New Roman" w:eastAsia="仿宋_GB2312" w:cs="仿宋_GB2312"/>
          <w:sz w:val="32"/>
          <w:szCs w:val="32"/>
        </w:rPr>
        <w:t>三公</w:t>
      </w:r>
      <w:r>
        <w:rPr>
          <w:rFonts w:hint="default" w:ascii="Times New Roman" w:hAnsi="Times New Roman" w:eastAsia="仿宋_GB2312" w:cs="Times New Roman"/>
          <w:sz w:val="32"/>
          <w:szCs w:val="32"/>
          <w:lang w:val="en-US"/>
        </w:rPr>
        <w:t>”</w:t>
      </w:r>
      <w:r>
        <w:rPr>
          <w:rFonts w:hint="default" w:ascii="仿宋_GB2312" w:hAnsi="Times New Roman" w:eastAsia="仿宋_GB2312" w:cs="仿宋_GB2312"/>
          <w:sz w:val="32"/>
          <w:szCs w:val="32"/>
        </w:rPr>
        <w:t>经费财政拨款支出决算总体情况说明</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val="en-US"/>
        </w:rPr>
        <w:tab/>
      </w:r>
      <w:r>
        <w:rPr>
          <w:rFonts w:hint="default" w:ascii="仿宋_GB2312" w:hAnsi="Times New Roman" w:eastAsia="仿宋_GB2312" w:cs="仿宋_GB2312"/>
          <w:sz w:val="32"/>
          <w:szCs w:val="32"/>
          <w:lang w:val="en-US"/>
        </w:rPr>
        <w:t>2</w:t>
      </w:r>
      <w:r>
        <w:rPr>
          <w:rFonts w:hint="default" w:ascii="仿宋_GB2312" w:hAnsi="Times New Roman" w:eastAsia="仿宋_GB2312" w:cs="仿宋_GB2312"/>
          <w:sz w:val="32"/>
          <w:szCs w:val="32"/>
        </w:rPr>
        <w:t>、</w:t>
      </w:r>
      <w:r>
        <w:rPr>
          <w:rFonts w:hint="default" w:ascii="Times New Roman" w:hAnsi="Times New Roman" w:eastAsia="仿宋_GB2312" w:cs="Times New Roman"/>
          <w:sz w:val="32"/>
          <w:szCs w:val="32"/>
          <w:lang w:val="en-US"/>
        </w:rPr>
        <w:t>“</w:t>
      </w:r>
      <w:r>
        <w:rPr>
          <w:rFonts w:hint="default" w:ascii="仿宋_GB2312" w:hAnsi="Times New Roman" w:eastAsia="仿宋_GB2312" w:cs="仿宋_GB2312"/>
          <w:sz w:val="32"/>
          <w:szCs w:val="32"/>
        </w:rPr>
        <w:t>三公</w:t>
      </w:r>
      <w:r>
        <w:rPr>
          <w:rFonts w:hint="default" w:ascii="Times New Roman" w:hAnsi="Times New Roman" w:eastAsia="仿宋_GB2312" w:cs="Times New Roman"/>
          <w:sz w:val="32"/>
          <w:szCs w:val="32"/>
          <w:lang w:val="en-US"/>
        </w:rPr>
        <w:t>”</w:t>
      </w:r>
      <w:r>
        <w:rPr>
          <w:rFonts w:hint="default" w:ascii="仿宋_GB2312" w:hAnsi="Times New Roman" w:eastAsia="仿宋_GB2312" w:cs="仿宋_GB2312"/>
          <w:sz w:val="32"/>
          <w:szCs w:val="32"/>
        </w:rPr>
        <w:t>经费财政拨款支出决算具体情况说明</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三、其他重要事项的情况说明</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（一）机关运行经费支出情况</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（二）政府采购支出情况</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（三）国有资产占用情况</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仿宋_GB2312" w:cs="Times New Roman"/>
          <w:sz w:val="32"/>
          <w:szCs w:val="32"/>
          <w:lang w:val="en-US"/>
        </w:rPr>
      </w:pPr>
      <w:r>
        <w:rPr>
          <w:rFonts w:hint="default" w:ascii="仿宋_GB2312" w:hAnsi="Times New Roman" w:eastAsia="仿宋_GB2312" w:cs="仿宋_GB2312"/>
          <w:sz w:val="32"/>
          <w:szCs w:val="32"/>
        </w:rPr>
        <w:t>（四）预算绩效管理工作开展情况</w:t>
      </w:r>
    </w:p>
    <w:p>
      <w:pPr>
        <w:keepNext w:val="0"/>
        <w:keepLines w:val="0"/>
        <w:widowControl/>
        <w:suppressLineNumbers w:val="0"/>
        <w:adjustRightInd w:val="0"/>
        <w:spacing w:before="0" w:beforeAutospacing="1" w:after="0" w:afterAutospacing="1" w:line="580" w:lineRule="exact"/>
        <w:ind w:left="0" w:right="0" w:firstLine="601"/>
        <w:jc w:val="left"/>
        <w:rPr>
          <w:rFonts w:hint="eastAsia" w:ascii="黑体" w:hAnsi="Times New Roman" w:eastAsia="黑体" w:cs="黑体"/>
          <w:b/>
          <w:sz w:val="32"/>
          <w:szCs w:val="32"/>
          <w:lang w:val="en-US"/>
        </w:rPr>
      </w:pPr>
      <w:r>
        <w:rPr>
          <w:rFonts w:hint="eastAsia" w:ascii="黑体" w:hAnsi="Times New Roman" w:eastAsia="黑体" w:cs="黑体"/>
          <w:b/>
          <w:sz w:val="32"/>
          <w:szCs w:val="32"/>
        </w:rPr>
        <w:t>第三部分 名词解释</w:t>
      </w:r>
    </w:p>
    <w:p>
      <w:pPr>
        <w:keepNext w:val="0"/>
        <w:keepLines w:val="0"/>
        <w:widowControl/>
        <w:suppressLineNumbers w:val="0"/>
        <w:adjustRightInd w:val="0"/>
        <w:spacing w:before="0" w:beforeAutospacing="1" w:after="0" w:afterAutospacing="1" w:line="580" w:lineRule="exact"/>
        <w:ind w:left="0" w:right="0" w:firstLine="601"/>
        <w:jc w:val="left"/>
        <w:rPr>
          <w:rFonts w:hint="eastAsia" w:ascii="黑体" w:hAnsi="Times New Roman" w:eastAsia="黑体" w:cs="黑体"/>
          <w:b/>
          <w:sz w:val="32"/>
          <w:szCs w:val="32"/>
          <w:lang w:val="en-US"/>
        </w:rPr>
      </w:pPr>
      <w:r>
        <w:rPr>
          <w:rFonts w:hint="eastAsia" w:ascii="黑体" w:hAnsi="Times New Roman" w:eastAsia="黑体" w:cs="黑体"/>
          <w:b/>
          <w:sz w:val="32"/>
          <w:szCs w:val="32"/>
        </w:rPr>
        <w:t>第四部分 决算公开联系方式及信息反馈渠道</w:t>
      </w:r>
    </w:p>
    <w:p>
      <w:pPr>
        <w:keepNext w:val="0"/>
        <w:keepLines w:val="0"/>
        <w:widowControl/>
        <w:suppressLineNumbers w:val="0"/>
        <w:adjustRightInd w:val="0"/>
        <w:spacing w:before="0" w:beforeAutospacing="1" w:after="0" w:afterAutospacing="1" w:line="580" w:lineRule="exact"/>
        <w:ind w:left="0" w:right="0" w:firstLine="601"/>
        <w:jc w:val="left"/>
        <w:rPr>
          <w:rFonts w:hint="default" w:ascii="Times New Roman" w:hAnsi="Times New Roman" w:eastAsia="黑体" w:cs="Times New Roman"/>
          <w:b/>
          <w:sz w:val="32"/>
          <w:szCs w:val="32"/>
          <w:lang w:val="en-US"/>
        </w:rPr>
      </w:pPr>
      <w:r>
        <w:rPr>
          <w:rFonts w:hint="eastAsia" w:ascii="黑体" w:hAnsi="Times New Roman" w:eastAsia="黑体" w:cs="黑体"/>
          <w:b/>
          <w:sz w:val="32"/>
          <w:szCs w:val="32"/>
        </w:rPr>
        <w:t>第五部分 部门决算公开表</w:t>
      </w:r>
    </w:p>
    <w:p>
      <w:pPr>
        <w:keepNext w:val="0"/>
        <w:keepLines w:val="0"/>
        <w:widowControl/>
        <w:suppressLineNumbers w:val="0"/>
        <w:adjustRightInd w:val="0"/>
        <w:spacing w:before="0" w:beforeAutospacing="1" w:after="0" w:afterAutospacing="1"/>
        <w:ind w:left="0" w:right="0" w:firstLine="601"/>
        <w:jc w:val="left"/>
        <w:rPr>
          <w:rFonts w:hint="default" w:ascii="Times New Roman" w:hAnsi="Times New Roman" w:eastAsia="仿宋_GB2312" w:cs="Times New Roman"/>
          <w:sz w:val="32"/>
          <w:szCs w:val="32"/>
          <w:highlight w:val="white"/>
          <w:lang w:val="en-US"/>
        </w:rPr>
      </w:pPr>
      <w:r>
        <w:rPr>
          <w:rFonts w:hint="default" w:ascii="Times New Roman" w:hAnsi="Times New Roman" w:eastAsia="黑体" w:cs="Times New Roman"/>
          <w:b/>
          <w:sz w:val="44"/>
          <w:szCs w:val="44"/>
          <w:highlight w:val="white"/>
          <w:lang w:val="en-US"/>
        </w:rPr>
        <w:t xml:space="preserve">   </w:t>
      </w:r>
      <w:r>
        <w:rPr>
          <w:rFonts w:hint="default" w:ascii="仿宋_GB2312" w:hAnsi="Times New Roman" w:eastAsia="仿宋_GB2312" w:cs="仿宋_GB2312"/>
          <w:sz w:val="32"/>
          <w:szCs w:val="32"/>
          <w:highlight w:val="white"/>
        </w:rPr>
        <w:t>一、收入支出决算总表</w:t>
      </w:r>
    </w:p>
    <w:p>
      <w:pPr>
        <w:keepNext w:val="0"/>
        <w:keepLines w:val="0"/>
        <w:widowControl/>
        <w:suppressLineNumbers w:val="0"/>
        <w:adjustRightInd w:val="0"/>
        <w:spacing w:before="0" w:beforeAutospacing="1" w:after="0" w:afterAutospacing="1"/>
        <w:ind w:left="0" w:right="0" w:firstLine="601"/>
        <w:jc w:val="left"/>
        <w:rPr>
          <w:rFonts w:hint="default" w:ascii="Times New Roman" w:hAnsi="Times New Roman" w:eastAsia="仿宋_GB2312" w:cs="Times New Roman"/>
          <w:sz w:val="32"/>
          <w:szCs w:val="32"/>
          <w:highlight w:val="white"/>
          <w:lang w:val="en-US"/>
        </w:rPr>
      </w:pPr>
      <w:r>
        <w:rPr>
          <w:rFonts w:hint="default" w:ascii="Times New Roman" w:hAnsi="Times New Roman" w:eastAsia="仿宋_GB2312" w:cs="Times New Roman"/>
          <w:sz w:val="32"/>
          <w:szCs w:val="32"/>
          <w:highlight w:val="white"/>
          <w:lang w:val="en-US"/>
        </w:rPr>
        <w:t xml:space="preserve">    </w:t>
      </w:r>
      <w:r>
        <w:rPr>
          <w:rFonts w:hint="default" w:ascii="仿宋_GB2312" w:hAnsi="Times New Roman" w:eastAsia="仿宋_GB2312" w:cs="仿宋_GB2312"/>
          <w:sz w:val="32"/>
          <w:szCs w:val="32"/>
          <w:highlight w:val="white"/>
        </w:rPr>
        <w:t>二、收入决算表</w:t>
      </w:r>
    </w:p>
    <w:p>
      <w:pPr>
        <w:keepNext w:val="0"/>
        <w:keepLines w:val="0"/>
        <w:widowControl/>
        <w:suppressLineNumbers w:val="0"/>
        <w:adjustRightInd w:val="0"/>
        <w:spacing w:before="0" w:beforeAutospacing="1" w:after="0" w:afterAutospacing="1"/>
        <w:ind w:left="0" w:right="0" w:firstLine="601"/>
        <w:jc w:val="left"/>
        <w:rPr>
          <w:rFonts w:hint="default" w:ascii="Times New Roman" w:hAnsi="Times New Roman" w:eastAsia="仿宋_GB2312" w:cs="Times New Roman"/>
          <w:sz w:val="32"/>
          <w:szCs w:val="32"/>
          <w:highlight w:val="white"/>
          <w:lang w:val="en-US"/>
        </w:rPr>
      </w:pPr>
      <w:r>
        <w:rPr>
          <w:rFonts w:hint="default" w:ascii="Times New Roman" w:hAnsi="Times New Roman" w:eastAsia="仿宋_GB2312" w:cs="Times New Roman"/>
          <w:sz w:val="32"/>
          <w:szCs w:val="32"/>
          <w:highlight w:val="white"/>
          <w:lang w:val="en-US"/>
        </w:rPr>
        <w:t xml:space="preserve">    </w:t>
      </w:r>
      <w:r>
        <w:rPr>
          <w:rFonts w:hint="default" w:ascii="仿宋_GB2312" w:hAnsi="Times New Roman" w:eastAsia="仿宋_GB2312" w:cs="仿宋_GB2312"/>
          <w:sz w:val="32"/>
          <w:szCs w:val="32"/>
          <w:highlight w:val="white"/>
        </w:rPr>
        <w:t>三、支出决算表</w:t>
      </w:r>
    </w:p>
    <w:p>
      <w:pPr>
        <w:keepNext w:val="0"/>
        <w:keepLines w:val="0"/>
        <w:widowControl/>
        <w:suppressLineNumbers w:val="0"/>
        <w:adjustRightInd w:val="0"/>
        <w:spacing w:before="0" w:beforeAutospacing="1" w:after="0" w:afterAutospacing="1"/>
        <w:ind w:left="0" w:right="0" w:firstLine="601"/>
        <w:jc w:val="left"/>
        <w:rPr>
          <w:rFonts w:hint="default" w:ascii="Times New Roman" w:hAnsi="Times New Roman" w:eastAsia="仿宋_GB2312" w:cs="Times New Roman"/>
          <w:sz w:val="32"/>
          <w:szCs w:val="32"/>
          <w:highlight w:val="white"/>
          <w:lang w:val="en-US"/>
        </w:rPr>
      </w:pPr>
      <w:r>
        <w:rPr>
          <w:rFonts w:hint="default" w:ascii="Times New Roman" w:hAnsi="Times New Roman" w:eastAsia="仿宋_GB2312" w:cs="Times New Roman"/>
          <w:sz w:val="32"/>
          <w:szCs w:val="32"/>
          <w:highlight w:val="white"/>
          <w:lang w:val="en-US"/>
        </w:rPr>
        <w:t xml:space="preserve">    </w:t>
      </w:r>
      <w:r>
        <w:rPr>
          <w:rFonts w:hint="default" w:ascii="仿宋_GB2312" w:hAnsi="Times New Roman" w:eastAsia="仿宋_GB2312" w:cs="仿宋_GB2312"/>
          <w:sz w:val="32"/>
          <w:szCs w:val="32"/>
          <w:highlight w:val="white"/>
        </w:rPr>
        <w:t>四、财政拨款收入支出决算总表</w:t>
      </w:r>
    </w:p>
    <w:p>
      <w:pPr>
        <w:keepNext w:val="0"/>
        <w:keepLines w:val="0"/>
        <w:widowControl/>
        <w:suppressLineNumbers w:val="0"/>
        <w:adjustRightInd w:val="0"/>
        <w:spacing w:before="0" w:beforeAutospacing="1" w:after="0" w:afterAutospacing="1"/>
        <w:ind w:left="0" w:right="0" w:firstLine="601"/>
        <w:jc w:val="left"/>
        <w:rPr>
          <w:rFonts w:hint="default" w:ascii="Times New Roman" w:hAnsi="Times New Roman" w:eastAsia="仿宋_GB2312" w:cs="Times New Roman"/>
          <w:sz w:val="32"/>
          <w:szCs w:val="32"/>
          <w:highlight w:val="white"/>
          <w:lang w:val="en-US"/>
        </w:rPr>
      </w:pPr>
      <w:r>
        <w:rPr>
          <w:rFonts w:hint="default" w:ascii="Times New Roman" w:hAnsi="Times New Roman" w:eastAsia="仿宋_GB2312" w:cs="Times New Roman"/>
          <w:sz w:val="32"/>
          <w:szCs w:val="32"/>
          <w:highlight w:val="white"/>
          <w:lang w:val="en-US"/>
        </w:rPr>
        <w:t xml:space="preserve">    </w:t>
      </w:r>
      <w:r>
        <w:rPr>
          <w:rFonts w:hint="default" w:ascii="仿宋_GB2312" w:hAnsi="Times New Roman" w:eastAsia="仿宋_GB2312" w:cs="仿宋_GB2312"/>
          <w:sz w:val="32"/>
          <w:szCs w:val="32"/>
          <w:highlight w:val="white"/>
        </w:rPr>
        <w:t>五、一般公共预算财政拨款支出决算表</w:t>
      </w:r>
    </w:p>
    <w:p>
      <w:pPr>
        <w:keepNext w:val="0"/>
        <w:keepLines w:val="0"/>
        <w:widowControl/>
        <w:suppressLineNumbers w:val="0"/>
        <w:adjustRightInd w:val="0"/>
        <w:spacing w:before="0" w:beforeAutospacing="1" w:after="0" w:afterAutospacing="1"/>
        <w:ind w:left="0" w:right="0" w:firstLine="601"/>
        <w:jc w:val="left"/>
        <w:rPr>
          <w:rFonts w:hint="default" w:ascii="Times New Roman" w:hAnsi="Times New Roman" w:eastAsia="仿宋_GB2312" w:cs="Times New Roman"/>
          <w:sz w:val="32"/>
          <w:szCs w:val="32"/>
          <w:highlight w:val="white"/>
          <w:lang w:val="en-US"/>
        </w:rPr>
      </w:pPr>
      <w:r>
        <w:rPr>
          <w:rFonts w:hint="default" w:ascii="Times New Roman" w:hAnsi="Times New Roman" w:eastAsia="仿宋_GB2312" w:cs="Times New Roman"/>
          <w:sz w:val="32"/>
          <w:szCs w:val="32"/>
          <w:highlight w:val="white"/>
          <w:lang w:val="en-US"/>
        </w:rPr>
        <w:t xml:space="preserve">    </w:t>
      </w:r>
      <w:r>
        <w:rPr>
          <w:rFonts w:hint="default" w:ascii="仿宋_GB2312" w:hAnsi="Times New Roman" w:eastAsia="仿宋_GB2312" w:cs="仿宋_GB2312"/>
          <w:sz w:val="32"/>
          <w:szCs w:val="32"/>
          <w:highlight w:val="white"/>
        </w:rPr>
        <w:t>六、一般公共预算财政拨款基本支出决算明细表</w:t>
      </w:r>
    </w:p>
    <w:p>
      <w:pPr>
        <w:keepNext w:val="0"/>
        <w:keepLines w:val="0"/>
        <w:widowControl/>
        <w:suppressLineNumbers w:val="0"/>
        <w:adjustRightInd w:val="0"/>
        <w:spacing w:before="0" w:beforeAutospacing="1" w:after="0" w:afterAutospacing="1"/>
        <w:ind w:left="0" w:right="0" w:firstLine="601"/>
        <w:jc w:val="left"/>
        <w:rPr>
          <w:rFonts w:hint="default" w:ascii="Times New Roman" w:hAnsi="Times New Roman" w:eastAsia="仿宋_GB2312" w:cs="Times New Roman"/>
          <w:sz w:val="32"/>
          <w:szCs w:val="32"/>
          <w:highlight w:val="white"/>
          <w:lang w:val="en-US"/>
        </w:rPr>
      </w:pPr>
      <w:r>
        <w:rPr>
          <w:rFonts w:hint="default" w:ascii="Times New Roman" w:hAnsi="Times New Roman" w:eastAsia="仿宋_GB2312" w:cs="Times New Roman"/>
          <w:sz w:val="32"/>
          <w:szCs w:val="32"/>
          <w:highlight w:val="white"/>
          <w:lang w:val="en-US"/>
        </w:rPr>
        <w:t xml:space="preserve">    </w:t>
      </w:r>
      <w:r>
        <w:rPr>
          <w:rFonts w:hint="default" w:ascii="仿宋_GB2312" w:hAnsi="Times New Roman" w:eastAsia="仿宋_GB2312" w:cs="仿宋_GB2312"/>
          <w:sz w:val="32"/>
          <w:szCs w:val="32"/>
          <w:highlight w:val="white"/>
        </w:rPr>
        <w:t>七、政府性基金财政拨款支出决算表</w:t>
      </w:r>
    </w:p>
    <w:p>
      <w:pPr>
        <w:keepNext w:val="0"/>
        <w:keepLines w:val="0"/>
        <w:widowControl/>
        <w:suppressLineNumbers w:val="0"/>
        <w:adjustRightInd w:val="0"/>
        <w:spacing w:before="0" w:beforeAutospacing="1" w:after="0" w:afterAutospacing="1"/>
        <w:ind w:left="0" w:right="0" w:firstLine="601"/>
        <w:jc w:val="left"/>
        <w:rPr>
          <w:rFonts w:hint="default" w:ascii="Times New Roman" w:hAnsi="Times New Roman" w:eastAsia="仿宋_GB2312" w:cs="Times New Roman"/>
          <w:sz w:val="32"/>
          <w:szCs w:val="32"/>
          <w:highlight w:val="white"/>
          <w:lang w:val="en-US"/>
        </w:rPr>
      </w:pPr>
      <w:r>
        <w:rPr>
          <w:rFonts w:hint="default" w:ascii="Times New Roman" w:hAnsi="Times New Roman" w:eastAsia="仿宋_GB2312" w:cs="Times New Roman"/>
          <w:sz w:val="32"/>
          <w:szCs w:val="32"/>
          <w:highlight w:val="white"/>
          <w:lang w:val="en-US"/>
        </w:rPr>
        <w:t xml:space="preserve">    </w:t>
      </w:r>
      <w:r>
        <w:rPr>
          <w:rFonts w:hint="default" w:ascii="仿宋_GB2312" w:hAnsi="Times New Roman" w:eastAsia="仿宋_GB2312" w:cs="仿宋_GB2312"/>
          <w:sz w:val="32"/>
          <w:szCs w:val="32"/>
          <w:highlight w:val="white"/>
        </w:rPr>
        <w:t>八、部门决算相关信息统计表</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right="0"/>
        <w:jc w:val="center"/>
        <w:textAlignment w:val="auto"/>
        <w:rPr>
          <w:rFonts w:hint="eastAsia" w:ascii="黑体" w:hAnsi="黑体" w:eastAsia="黑体" w:cs="黑体"/>
          <w:b w:val="0"/>
          <w:bCs/>
          <w:spacing w:val="11"/>
          <w:kern w:val="0"/>
          <w:sz w:val="32"/>
          <w:szCs w:val="32"/>
          <w:lang w:eastAsia="zh-CN"/>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b/>
          <w:spacing w:val="11"/>
          <w:kern w:val="0"/>
          <w:sz w:val="32"/>
          <w:szCs w:val="32"/>
        </w:rPr>
      </w:pPr>
      <w:r>
        <w:rPr>
          <w:rFonts w:hint="eastAsia" w:ascii="仿宋_GB2312" w:hAnsi="仿宋_GB2312" w:eastAsia="仿宋_GB2312" w:cs="仿宋_GB2312"/>
          <w:b/>
          <w:spacing w:val="11"/>
          <w:kern w:val="0"/>
          <w:sz w:val="32"/>
          <w:szCs w:val="32"/>
        </w:rPr>
        <w:t xml:space="preserve"> </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b/>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b/>
          <w:spacing w:val="11"/>
          <w:kern w:val="0"/>
          <w:sz w:val="32"/>
          <w:szCs w:val="32"/>
        </w:rPr>
      </w:pPr>
      <w:bookmarkStart w:id="0" w:name="_GoBack"/>
      <w:bookmarkEnd w:id="0"/>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黑体" w:hAnsi="黑体" w:eastAsia="黑体" w:cs="黑体"/>
          <w:b w:val="0"/>
          <w:bCs/>
          <w:spacing w:val="11"/>
          <w:kern w:val="0"/>
          <w:sz w:val="32"/>
          <w:szCs w:val="32"/>
        </w:rPr>
      </w:pPr>
      <w:r>
        <w:rPr>
          <w:rFonts w:hint="eastAsia" w:ascii="黑体" w:hAnsi="黑体" w:eastAsia="黑体" w:cs="黑体"/>
          <w:b w:val="0"/>
          <w:bCs/>
          <w:spacing w:val="11"/>
          <w:kern w:val="0"/>
          <w:sz w:val="32"/>
          <w:szCs w:val="32"/>
        </w:rPr>
        <w:t>第一部分</w:t>
      </w:r>
      <w:r>
        <w:rPr>
          <w:rFonts w:hint="eastAsia" w:ascii="黑体" w:hAnsi="黑体" w:eastAsia="黑体" w:cs="黑体"/>
          <w:b w:val="0"/>
          <w:bCs/>
          <w:spacing w:val="11"/>
          <w:kern w:val="0"/>
          <w:sz w:val="32"/>
          <w:szCs w:val="32"/>
          <w:lang w:val="en-US" w:eastAsia="zh-CN"/>
        </w:rPr>
        <w:t xml:space="preserve">  </w:t>
      </w:r>
      <w:r>
        <w:rPr>
          <w:rFonts w:hint="eastAsia" w:ascii="黑体" w:hAnsi="黑体" w:eastAsia="黑体" w:cs="黑体"/>
          <w:b w:val="0"/>
          <w:bCs/>
          <w:spacing w:val="11"/>
          <w:kern w:val="0"/>
          <w:sz w:val="32"/>
          <w:szCs w:val="32"/>
        </w:rPr>
        <w:t>部门基本情况</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黑体" w:hAnsi="黑体" w:eastAsia="黑体" w:cs="黑体"/>
          <w:spacing w:val="11"/>
          <w:kern w:val="0"/>
          <w:sz w:val="32"/>
          <w:szCs w:val="32"/>
        </w:rPr>
      </w:pPr>
      <w:r>
        <w:rPr>
          <w:rFonts w:hint="eastAsia" w:ascii="黑体" w:hAnsi="黑体" w:eastAsia="黑体" w:cs="黑体"/>
          <w:spacing w:val="11"/>
          <w:kern w:val="0"/>
          <w:sz w:val="32"/>
          <w:szCs w:val="32"/>
        </w:rPr>
        <w:t>一、部门职能</w:t>
      </w:r>
    </w:p>
    <w:p>
      <w:pPr>
        <w:keepNext w:val="0"/>
        <w:keepLines w:val="0"/>
        <w:pageBreakBefore w:val="0"/>
        <w:widowControl w:val="0"/>
        <w:suppressLineNumbers w:val="0"/>
        <w:kinsoku/>
        <w:wordWrap/>
        <w:overflowPunct/>
        <w:topLinePunct w:val="0"/>
        <w:autoSpaceDE w:val="0"/>
        <w:autoSpaceDN/>
        <w:bidi w:val="0"/>
        <w:snapToGrid w:val="0"/>
        <w:spacing w:beforeAutospacing="0" w:afterAutospacing="0" w:line="580" w:lineRule="exact"/>
        <w:ind w:left="0" w:leftChars="0" w:right="0" w:rightChars="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b w:val="0"/>
          <w:spacing w:val="11"/>
          <w:kern w:val="0"/>
          <w:sz w:val="32"/>
          <w:szCs w:val="32"/>
        </w:rPr>
        <w:t>呼伦贝尔市人大常委会是呼伦贝尔市人民代表大会的常设机关，是呼伦贝尔市的地方国家权力机关。市人大常委会负有保证宪法、法律、行政法规和上级人大及其常委会决议在本行政区域的遵守和执行；</w:t>
      </w:r>
      <w:r>
        <w:rPr>
          <w:rFonts w:hint="eastAsia" w:ascii="仿宋_GB2312" w:hAnsi="仿宋_GB2312" w:eastAsia="仿宋_GB2312" w:cs="仿宋_GB2312"/>
          <w:b w:val="0"/>
          <w:spacing w:val="11"/>
          <w:kern w:val="0"/>
          <w:sz w:val="32"/>
          <w:szCs w:val="32"/>
          <w:lang w:eastAsia="zh-CN"/>
        </w:rPr>
        <w:t>讨论、决定本行政区域内各方面工作的重大事项；监督本级人民政府、监察委员会、人民法院和人民检察院的工作</w:t>
      </w:r>
      <w:r>
        <w:rPr>
          <w:rFonts w:hint="eastAsia" w:ascii="仿宋_GB2312" w:hAnsi="仿宋_GB2312" w:eastAsia="仿宋_GB2312" w:cs="仿宋_GB2312"/>
          <w:b w:val="0"/>
          <w:spacing w:val="11"/>
          <w:kern w:val="0"/>
          <w:sz w:val="32"/>
          <w:szCs w:val="32"/>
        </w:rPr>
        <w:t>；</w:t>
      </w:r>
      <w:r>
        <w:rPr>
          <w:rFonts w:hint="eastAsia" w:ascii="仿宋_GB2312" w:hAnsi="仿宋_GB2312" w:eastAsia="仿宋_GB2312" w:cs="仿宋_GB2312"/>
          <w:b w:val="0"/>
          <w:spacing w:val="11"/>
          <w:kern w:val="0"/>
          <w:sz w:val="32"/>
          <w:szCs w:val="32"/>
          <w:lang w:eastAsia="zh-CN"/>
        </w:rPr>
        <w:t>撤销本级人民政府的不适当的决定和命令；撤销下一级人民代表大会的不适当的决议；依照法律规定的权限决定国家机关工作人员的任免；在本级人民代表大会闭会期间，罢免和补选上一级人民代表大会的个别代表。</w:t>
      </w:r>
      <w:r>
        <w:rPr>
          <w:rFonts w:hint="eastAsia" w:ascii="仿宋_GB2312" w:hAnsi="仿宋_GB2312" w:eastAsia="仿宋_GB2312" w:cs="仿宋_GB2312"/>
          <w:b w:val="0"/>
          <w:spacing w:val="11"/>
          <w:kern w:val="0"/>
          <w:sz w:val="32"/>
          <w:szCs w:val="32"/>
        </w:rPr>
        <w:t>对</w:t>
      </w:r>
      <w:r>
        <w:rPr>
          <w:rFonts w:hint="eastAsia" w:ascii="仿宋_GB2312" w:hAnsi="仿宋_GB2312" w:eastAsia="仿宋_GB2312" w:cs="仿宋_GB2312"/>
          <w:b w:val="0"/>
          <w:spacing w:val="11"/>
          <w:kern w:val="0"/>
          <w:sz w:val="32"/>
          <w:szCs w:val="32"/>
          <w:lang w:eastAsia="zh-CN"/>
        </w:rPr>
        <w:t>“一府一委两院”</w:t>
      </w:r>
      <w:r>
        <w:rPr>
          <w:rFonts w:hint="eastAsia" w:ascii="仿宋_GB2312" w:hAnsi="仿宋_GB2312" w:eastAsia="仿宋_GB2312" w:cs="仿宋_GB2312"/>
          <w:b w:val="0"/>
          <w:spacing w:val="11"/>
          <w:kern w:val="0"/>
          <w:sz w:val="32"/>
          <w:szCs w:val="32"/>
        </w:rPr>
        <w:t>实施法律监督和工作监督。</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黑体" w:hAnsi="黑体" w:eastAsia="黑体" w:cs="黑体"/>
          <w:spacing w:val="11"/>
          <w:kern w:val="0"/>
          <w:sz w:val="32"/>
          <w:szCs w:val="32"/>
        </w:rPr>
      </w:pPr>
      <w:r>
        <w:rPr>
          <w:rFonts w:hint="eastAsia" w:ascii="黑体" w:hAnsi="黑体" w:eastAsia="黑体" w:cs="黑体"/>
          <w:spacing w:val="11"/>
          <w:kern w:val="0"/>
          <w:sz w:val="32"/>
          <w:szCs w:val="32"/>
        </w:rPr>
        <w:t>二、机构设置及单位构成情况</w:t>
      </w:r>
    </w:p>
    <w:p>
      <w:pPr>
        <w:keepNext w:val="0"/>
        <w:keepLines w:val="0"/>
        <w:pageBreakBefore w:val="0"/>
        <w:widowControl w:val="0"/>
        <w:suppressLineNumbers w:val="0"/>
        <w:kinsoku/>
        <w:wordWrap/>
        <w:overflowPunct/>
        <w:topLinePunct w:val="0"/>
        <w:autoSpaceDE w:val="0"/>
        <w:autoSpaceDN/>
        <w:bidi w:val="0"/>
        <w:snapToGrid w:val="0"/>
        <w:spacing w:beforeAutospacing="0" w:afterAutospacing="0" w:line="580" w:lineRule="exact"/>
        <w:ind w:left="0" w:leftChars="0" w:right="0" w:rightChars="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呼伦贝尔市人大常委会机关内设办公厅、民族侨务外事工作委员会、内务司法工作委员会、教育科学文化卫生工作委员会、财政经济工作委员会、环境资源城乡建设工作委员会、农牧业工作委员会、选举任命联络工作委员会、法制工作委员会，共9个正处级部门，办公厅下设5个科级行政处室，机关事务服务中心和机关老干部服务中心2个科级事业单位。本年度与上年相比无变动。</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right="0"/>
        <w:jc w:val="center"/>
        <w:textAlignment w:val="auto"/>
        <w:rPr>
          <w:rFonts w:hint="eastAsia" w:ascii="黑体" w:hAnsi="黑体" w:eastAsia="黑体" w:cs="黑体"/>
          <w:b w:val="0"/>
          <w:bCs/>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right="0"/>
        <w:jc w:val="center"/>
        <w:textAlignment w:val="auto"/>
        <w:rPr>
          <w:rFonts w:hint="eastAsia" w:ascii="仿宋_GB2312" w:hAnsi="仿宋_GB2312" w:eastAsia="仿宋_GB2312" w:cs="仿宋_GB2312"/>
          <w:spacing w:val="11"/>
          <w:kern w:val="0"/>
          <w:sz w:val="32"/>
          <w:szCs w:val="32"/>
        </w:rPr>
      </w:pPr>
      <w:r>
        <w:rPr>
          <w:rFonts w:hint="eastAsia" w:ascii="黑体" w:hAnsi="黑体" w:eastAsia="黑体" w:cs="黑体"/>
          <w:b w:val="0"/>
          <w:bCs/>
          <w:spacing w:val="11"/>
          <w:kern w:val="0"/>
          <w:sz w:val="32"/>
          <w:szCs w:val="32"/>
        </w:rPr>
        <w:t>第二部分 2018年度部门决算情况说明</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黑体" w:hAnsi="黑体" w:eastAsia="黑体" w:cs="黑体"/>
          <w:spacing w:val="11"/>
          <w:kern w:val="0"/>
          <w:sz w:val="32"/>
          <w:szCs w:val="32"/>
        </w:rPr>
      </w:pPr>
      <w:r>
        <w:rPr>
          <w:rFonts w:hint="eastAsia" w:ascii="黑体" w:hAnsi="黑体" w:eastAsia="黑体" w:cs="黑体"/>
          <w:spacing w:val="11"/>
          <w:kern w:val="0"/>
          <w:sz w:val="32"/>
          <w:szCs w:val="32"/>
        </w:rPr>
        <w:t>一、关于2018年度预算执行情况分析</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本部门收入总计2380.31万元，其中财政拨款收入2181.03万元，其他收入0.25万元，年初结转结余199.03万元。本年收入2181.28万元，比年初预算数增加414.48万元，主要因为：一是7月起调增人员工资，二是追加两次人代会经费。</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本部门支出合计2380.31万元，其中本年支出2168.26万元，年末结转结余212.06万元。本年支出按照功能分类分为：一般公共服务支出1461.98万元，社会保障和就业支出497.16万元，医疗卫生与计划生育支出123.59万元，住房保障支出85.54万元。比年初预算数增加401.46万元。主要因为：一是7月起调增人员工资，二是追加两次人代会经费。</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黑体" w:hAnsi="黑体" w:eastAsia="黑体" w:cs="黑体"/>
          <w:spacing w:val="11"/>
          <w:kern w:val="0"/>
          <w:sz w:val="32"/>
          <w:szCs w:val="32"/>
        </w:rPr>
      </w:pPr>
      <w:r>
        <w:rPr>
          <w:rFonts w:hint="eastAsia" w:ascii="黑体" w:hAnsi="黑体" w:eastAsia="黑体" w:cs="黑体"/>
          <w:spacing w:val="11"/>
          <w:kern w:val="0"/>
          <w:sz w:val="32"/>
          <w:szCs w:val="32"/>
        </w:rPr>
        <w:t>二、关于2018年度决算情况说明</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楷体_GB2312" w:hAnsi="楷体_GB2312" w:eastAsia="楷体_GB2312" w:cs="楷体_GB2312"/>
          <w:spacing w:val="11"/>
          <w:kern w:val="0"/>
          <w:sz w:val="32"/>
          <w:szCs w:val="32"/>
        </w:rPr>
      </w:pPr>
      <w:r>
        <w:rPr>
          <w:rFonts w:hint="eastAsia" w:ascii="楷体_GB2312" w:hAnsi="楷体_GB2312" w:eastAsia="楷体_GB2312" w:cs="楷体_GB2312"/>
          <w:spacing w:val="11"/>
          <w:kern w:val="0"/>
          <w:sz w:val="32"/>
          <w:szCs w:val="32"/>
        </w:rPr>
        <w:t>（一）关于收支情况总体说明</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本部门2018年度收入总计2,380.31万元，其中：本年收入合计2,181.28万元，用事业基金弥补收支差额0.00万元，年初结转和结余199.03万元；支出总计2,380.31万元，其中：结余分配0.00万元，年末结转和结余212.06万元。与2017年度相比，收入总计减少39.25万元，下降1.60%；支出总计减少39.25万元，下降1.60%。主要原因：人员变动，退休人员增加，人员经费和日常公用经费减少。</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楷体_GB2312" w:hAnsi="楷体_GB2312" w:eastAsia="楷体_GB2312" w:cs="楷体_GB2312"/>
          <w:spacing w:val="11"/>
          <w:kern w:val="0"/>
          <w:sz w:val="32"/>
          <w:szCs w:val="32"/>
        </w:rPr>
      </w:pPr>
      <w:r>
        <w:rPr>
          <w:rFonts w:hint="eastAsia" w:ascii="楷体_GB2312" w:hAnsi="楷体_GB2312" w:eastAsia="楷体_GB2312" w:cs="楷体_GB2312"/>
          <w:spacing w:val="11"/>
          <w:kern w:val="0"/>
          <w:sz w:val="32"/>
          <w:szCs w:val="32"/>
        </w:rPr>
        <w:t>（二）关于2018年度收入决算情况说明</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本部门2018年度收入合计2,181.28万元，其中：财政拨款收入2,181.03万元，占100.00%；其他收入0.25万元，占0.00%。</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楷体_GB2312" w:hAnsi="楷体_GB2312" w:eastAsia="楷体_GB2312" w:cs="楷体_GB2312"/>
          <w:spacing w:val="11"/>
          <w:kern w:val="0"/>
          <w:sz w:val="32"/>
          <w:szCs w:val="32"/>
        </w:rPr>
      </w:pPr>
      <w:r>
        <w:rPr>
          <w:rFonts w:hint="eastAsia" w:ascii="楷体_GB2312" w:hAnsi="楷体_GB2312" w:eastAsia="楷体_GB2312" w:cs="楷体_GB2312"/>
          <w:spacing w:val="11"/>
          <w:kern w:val="0"/>
          <w:sz w:val="32"/>
          <w:szCs w:val="32"/>
        </w:rPr>
        <w:t>（三）关于2018年度支出决算情况说明</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本部门2018年度支出合计2,168.26万元，其中：基本支出1,711.98万元，占79.00%；项目支出456.28万元，占21.00%。</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楷体_GB2312" w:hAnsi="楷体_GB2312" w:eastAsia="楷体_GB2312" w:cs="楷体_GB2312"/>
          <w:spacing w:val="0"/>
          <w:kern w:val="0"/>
          <w:sz w:val="32"/>
          <w:szCs w:val="32"/>
        </w:rPr>
      </w:pPr>
      <w:r>
        <w:rPr>
          <w:rFonts w:hint="eastAsia" w:ascii="楷体_GB2312" w:hAnsi="楷体_GB2312" w:eastAsia="楷体_GB2312" w:cs="楷体_GB2312"/>
          <w:spacing w:val="11"/>
          <w:kern w:val="0"/>
          <w:sz w:val="32"/>
          <w:szCs w:val="32"/>
        </w:rPr>
        <w:t>（四）</w:t>
      </w:r>
      <w:r>
        <w:rPr>
          <w:rFonts w:hint="eastAsia" w:ascii="楷体_GB2312" w:hAnsi="楷体_GB2312" w:eastAsia="楷体_GB2312" w:cs="楷体_GB2312"/>
          <w:spacing w:val="0"/>
          <w:kern w:val="0"/>
          <w:sz w:val="32"/>
          <w:szCs w:val="32"/>
        </w:rPr>
        <w:t>关于2018年度财政拨款收入支出决算总体情况说明</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本部门2018年度财政拨款收入总计2,379.35万元，其中：年初结转和结余198.32万元；支出总计2,379.35万元，其中：年末结转和结余211.10万元。与2017年度相比，收入减少39.50万元，下降1.60%；支出减少39.50万元，下降1.60%。主要原因：人员变动，退休人员增加，人员经费和日常公用经费减少。</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leftChars="0" w:right="0" w:rightChars="0" w:firstLine="684" w:firstLineChars="200"/>
        <w:jc w:val="left"/>
        <w:textAlignment w:val="auto"/>
        <w:rPr>
          <w:rFonts w:hint="eastAsia" w:ascii="楷体_GB2312" w:hAnsi="楷体_GB2312" w:eastAsia="楷体_GB2312" w:cs="楷体_GB2312"/>
          <w:spacing w:val="11"/>
          <w:kern w:val="0"/>
          <w:sz w:val="32"/>
          <w:szCs w:val="32"/>
        </w:rPr>
      </w:pPr>
      <w:r>
        <w:rPr>
          <w:rFonts w:hint="eastAsia" w:ascii="楷体_GB2312" w:hAnsi="楷体_GB2312" w:eastAsia="楷体_GB2312" w:cs="楷体_GB2312"/>
          <w:spacing w:val="11"/>
          <w:kern w:val="0"/>
          <w:sz w:val="32"/>
          <w:szCs w:val="32"/>
        </w:rPr>
        <w:t>（五）关于2018年度一般公共预算财政拨款支出决算情况说明</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本部门2018年度一般公共预算财政拨款支出合计2,168.26万元，其中：基本支出1,711.98万元，占79.00%；项目支出456.28万元，占21.00%。</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leftChars="0" w:right="0" w:rightChars="0" w:firstLine="684" w:firstLineChars="200"/>
        <w:jc w:val="left"/>
        <w:textAlignment w:val="auto"/>
        <w:rPr>
          <w:rFonts w:hint="eastAsia" w:ascii="楷体_GB2312" w:hAnsi="楷体_GB2312" w:eastAsia="楷体_GB2312" w:cs="楷体_GB2312"/>
          <w:spacing w:val="11"/>
          <w:kern w:val="0"/>
          <w:sz w:val="32"/>
          <w:szCs w:val="32"/>
        </w:rPr>
      </w:pPr>
      <w:r>
        <w:rPr>
          <w:rFonts w:hint="eastAsia" w:ascii="楷体_GB2312" w:hAnsi="楷体_GB2312" w:eastAsia="楷体_GB2312" w:cs="楷体_GB2312"/>
          <w:spacing w:val="11"/>
          <w:kern w:val="0"/>
          <w:sz w:val="32"/>
          <w:szCs w:val="32"/>
        </w:rPr>
        <w:t>（六）关于2018年度一般公共预算财政拨款基本支出决算情况说明</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本部门2018年度一般公共预算财政拨款基本支出1711.98万元，其中：人员经费1519.96万元，主要包括：基本工资、津贴补贴、绩效工资、职工基本医疗保险缴费、退休费、住房公积金，较上年增加106.45万元，主要原因是：7月起调增人员工资；公用经费192.02万元，主要包括：办公费、差旅费、工会经费、公务用车运行维护费、其他交通费用，较上年增加95.68万元，主要原因是：支付历年</w:t>
      </w:r>
      <w:r>
        <w:rPr>
          <w:rFonts w:hint="eastAsia" w:ascii="仿宋_GB2312" w:hAnsi="仿宋_GB2312" w:eastAsia="仿宋_GB2312" w:cs="仿宋_GB2312"/>
          <w:spacing w:val="11"/>
          <w:kern w:val="0"/>
          <w:sz w:val="32"/>
          <w:szCs w:val="32"/>
          <w:lang w:eastAsia="zh-CN"/>
        </w:rPr>
        <w:t>所</w:t>
      </w:r>
      <w:r>
        <w:rPr>
          <w:rFonts w:hint="eastAsia" w:ascii="仿宋_GB2312" w:hAnsi="仿宋_GB2312" w:eastAsia="仿宋_GB2312" w:cs="仿宋_GB2312"/>
          <w:spacing w:val="11"/>
          <w:kern w:val="0"/>
          <w:sz w:val="32"/>
          <w:szCs w:val="32"/>
        </w:rPr>
        <w:t>欠</w:t>
      </w:r>
      <w:r>
        <w:rPr>
          <w:rFonts w:hint="eastAsia" w:ascii="仿宋_GB2312" w:hAnsi="仿宋_GB2312" w:eastAsia="仿宋_GB2312" w:cs="仿宋_GB2312"/>
          <w:spacing w:val="11"/>
          <w:kern w:val="0"/>
          <w:sz w:val="32"/>
          <w:szCs w:val="32"/>
          <w:lang w:eastAsia="zh-CN"/>
        </w:rPr>
        <w:t>汽车租赁</w:t>
      </w:r>
      <w:r>
        <w:rPr>
          <w:rFonts w:hint="eastAsia" w:ascii="仿宋_GB2312" w:hAnsi="仿宋_GB2312" w:eastAsia="仿宋_GB2312" w:cs="仿宋_GB2312"/>
          <w:spacing w:val="11"/>
          <w:kern w:val="0"/>
          <w:sz w:val="32"/>
          <w:szCs w:val="32"/>
        </w:rPr>
        <w:t>费。</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leftChars="0" w:right="0" w:rightChars="0" w:firstLine="684" w:firstLineChars="200"/>
        <w:jc w:val="left"/>
        <w:textAlignment w:val="auto"/>
        <w:rPr>
          <w:rFonts w:hint="eastAsia" w:ascii="楷体_GB2312" w:hAnsi="楷体_GB2312" w:eastAsia="楷体_GB2312" w:cs="楷体_GB2312"/>
          <w:spacing w:val="11"/>
          <w:kern w:val="0"/>
          <w:sz w:val="32"/>
          <w:szCs w:val="32"/>
        </w:rPr>
      </w:pPr>
      <w:r>
        <w:rPr>
          <w:rFonts w:hint="eastAsia" w:ascii="楷体_GB2312" w:hAnsi="楷体_GB2312" w:eastAsia="楷体_GB2312" w:cs="楷体_GB2312"/>
          <w:spacing w:val="11"/>
          <w:kern w:val="0"/>
          <w:sz w:val="32"/>
          <w:szCs w:val="32"/>
        </w:rPr>
        <w:t>（七）关于2018年度财政拨款“三公”经费支出决算情况说明</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ab/>
      </w:r>
      <w:r>
        <w:rPr>
          <w:rFonts w:hint="eastAsia" w:ascii="仿宋_GB2312" w:hAnsi="仿宋_GB2312" w:eastAsia="仿宋_GB2312" w:cs="仿宋_GB2312"/>
          <w:b/>
          <w:bCs/>
          <w:spacing w:val="11"/>
          <w:kern w:val="0"/>
          <w:sz w:val="32"/>
          <w:szCs w:val="32"/>
        </w:rPr>
        <w:t>1、“三公”经费财政拨款支出决算总体情况说明</w:t>
      </w:r>
    </w:p>
    <w:p>
      <w:pPr>
        <w:keepNext w:val="0"/>
        <w:keepLines w:val="0"/>
        <w:pageBreakBefore w:val="0"/>
        <w:widowControl w:val="0"/>
        <w:suppressLineNumbers w:val="0"/>
        <w:kinsoku/>
        <w:wordWrap/>
        <w:overflowPunct/>
        <w:topLinePunct w:val="0"/>
        <w:autoSpaceDE w:val="0"/>
        <w:autoSpaceDN/>
        <w:bidi w:val="0"/>
        <w:snapToGrid w:val="0"/>
        <w:spacing w:beforeAutospacing="0" w:afterAutospacing="0" w:line="580" w:lineRule="exact"/>
        <w:ind w:left="0" w:leftChars="0" w:right="0" w:rightChars="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本部门2018年度财政拨款“三公”经费预算为100.00万元，支出决算为108.41万元，完成预算的108.40%，其中：因公出国（境）费支出决算为0.00万元，完成预算的0.00%；公务用车购置及运行维护费支出决算为108.41万元，完成预算的108.40%；公务接待费支出决算为0.00万元，完成预算的0.00%。2018年度财政拨款“三公”经费支出决算与预算差异情况的原因：2017年经公车办审批，同意新增购置公务用车一辆，因财政资金当年未拨付，当年未购置，于2018年购置公务用车一辆，所以出现差异情况。</w:t>
      </w:r>
    </w:p>
    <w:p>
      <w:pPr>
        <w:keepNext w:val="0"/>
        <w:keepLines w:val="0"/>
        <w:pageBreakBefore w:val="0"/>
        <w:widowControl w:val="0"/>
        <w:numPr>
          <w:ilvl w:val="0"/>
          <w:numId w:val="1"/>
        </w:numPr>
        <w:suppressLineNumbers w:val="0"/>
        <w:kinsoku/>
        <w:wordWrap/>
        <w:overflowPunct/>
        <w:topLinePunct w:val="0"/>
        <w:autoSpaceDN/>
        <w:bidi w:val="0"/>
        <w:adjustRightInd w:val="0"/>
        <w:spacing w:before="0" w:beforeAutospacing="0" w:after="0" w:afterAutospacing="0" w:line="580" w:lineRule="exact"/>
        <w:ind w:left="840" w:leftChars="0" w:right="0" w:firstLine="0" w:firstLineChars="0"/>
        <w:jc w:val="left"/>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b/>
          <w:bCs/>
          <w:spacing w:val="11"/>
          <w:kern w:val="0"/>
          <w:sz w:val="32"/>
          <w:szCs w:val="32"/>
        </w:rPr>
        <w:t>“三公”经费财政拨款支出决算具体情况说明</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本部门2018年度财政拨款“三公”经费支出108.41万元，因公出国（境）费支出0.00万元，占0.00%；公务用车购置及运行维护费支出108.41万元，占100.00%；公务接待费支出0.00万元，占0.00%。具体情况如下：</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7"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b/>
          <w:spacing w:val="11"/>
          <w:kern w:val="0"/>
          <w:sz w:val="32"/>
          <w:szCs w:val="32"/>
        </w:rPr>
        <w:t>因公出国（境）费支出</w:t>
      </w:r>
      <w:r>
        <w:rPr>
          <w:rFonts w:hint="eastAsia" w:ascii="仿宋_GB2312" w:hAnsi="仿宋_GB2312" w:eastAsia="仿宋_GB2312" w:cs="仿宋_GB2312"/>
          <w:spacing w:val="11"/>
          <w:kern w:val="0"/>
          <w:sz w:val="32"/>
          <w:szCs w:val="32"/>
        </w:rPr>
        <w:t>0.00万元。全年因公出国（境）团组0个，累计0人次。主要由于本年未发生因公出国费用。</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7"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b/>
          <w:spacing w:val="11"/>
          <w:kern w:val="0"/>
          <w:sz w:val="32"/>
          <w:szCs w:val="32"/>
        </w:rPr>
        <w:t>公务用车购置及运行维护费支出</w:t>
      </w:r>
      <w:r>
        <w:rPr>
          <w:rFonts w:hint="eastAsia" w:ascii="仿宋_GB2312" w:hAnsi="仿宋_GB2312" w:eastAsia="仿宋_GB2312" w:cs="仿宋_GB2312"/>
          <w:spacing w:val="11"/>
          <w:kern w:val="0"/>
          <w:sz w:val="32"/>
          <w:szCs w:val="32"/>
        </w:rPr>
        <w:t>108.41万元。其中：公务用车购置支出64.91万元，用于新增公务用车支出，车均购置费64.91万元，较上年增加64.91万元，主要原因是2017年经公车办审批，同意新增购置公务用车一辆，财政资金当年未拨付，当年未购置，于2018年购置公务用车一辆。公务用车运行维护费支出43.50万元，用于支付公车燃料费、维修费、车险和过路桥费，车均运维费2.07万元，较上年减少8.94万元，主要原因是使用公车外出调研较上年减少，财政拨款开支的公务用车保有量为21辆。</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7"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b/>
          <w:spacing w:val="11"/>
          <w:kern w:val="0"/>
          <w:sz w:val="32"/>
          <w:szCs w:val="32"/>
        </w:rPr>
        <w:t>公务接待费支出</w:t>
      </w:r>
      <w:r>
        <w:rPr>
          <w:rFonts w:hint="eastAsia" w:ascii="仿宋_GB2312" w:hAnsi="仿宋_GB2312" w:eastAsia="仿宋_GB2312" w:cs="仿宋_GB2312"/>
          <w:spacing w:val="11"/>
          <w:kern w:val="0"/>
          <w:sz w:val="32"/>
          <w:szCs w:val="32"/>
        </w:rPr>
        <w:t>0.00万元。其中：国内公务接待费0.00万元，接待0批次，共接待0人次。国（境）外接待费0.00万元，接待0批次，共接待0人次。</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黑体" w:hAnsi="黑体" w:eastAsia="黑体" w:cs="黑体"/>
          <w:spacing w:val="11"/>
          <w:kern w:val="0"/>
          <w:sz w:val="32"/>
          <w:szCs w:val="32"/>
        </w:rPr>
      </w:pPr>
      <w:r>
        <w:rPr>
          <w:rFonts w:hint="eastAsia" w:ascii="黑体" w:hAnsi="黑体" w:eastAsia="黑体" w:cs="黑体"/>
          <w:spacing w:val="11"/>
          <w:kern w:val="0"/>
          <w:sz w:val="32"/>
          <w:szCs w:val="32"/>
        </w:rPr>
        <w:t>三、其他重要事项的情况说明</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楷体_GB2312" w:hAnsi="楷体_GB2312" w:eastAsia="楷体_GB2312" w:cs="楷体_GB2312"/>
          <w:spacing w:val="11"/>
          <w:kern w:val="0"/>
          <w:sz w:val="32"/>
          <w:szCs w:val="32"/>
        </w:rPr>
      </w:pPr>
      <w:r>
        <w:rPr>
          <w:rFonts w:hint="eastAsia" w:ascii="楷体_GB2312" w:hAnsi="楷体_GB2312" w:eastAsia="楷体_GB2312" w:cs="楷体_GB2312"/>
          <w:spacing w:val="11"/>
          <w:kern w:val="0"/>
          <w:sz w:val="32"/>
          <w:szCs w:val="32"/>
        </w:rPr>
        <w:t>（一）机关运行经费支出情况</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本部门2018年度机关运行经费支出192.02万元，比2017年增加95.68万元，增长99.30%。主要原因是：支付历年</w:t>
      </w:r>
      <w:r>
        <w:rPr>
          <w:rFonts w:hint="eastAsia" w:ascii="仿宋_GB2312" w:hAnsi="仿宋_GB2312" w:eastAsia="仿宋_GB2312" w:cs="仿宋_GB2312"/>
          <w:spacing w:val="11"/>
          <w:kern w:val="0"/>
          <w:sz w:val="32"/>
          <w:szCs w:val="32"/>
          <w:lang w:eastAsia="zh-CN"/>
        </w:rPr>
        <w:t>所</w:t>
      </w:r>
      <w:r>
        <w:rPr>
          <w:rFonts w:hint="eastAsia" w:ascii="仿宋_GB2312" w:hAnsi="仿宋_GB2312" w:eastAsia="仿宋_GB2312" w:cs="仿宋_GB2312"/>
          <w:spacing w:val="11"/>
          <w:kern w:val="0"/>
          <w:sz w:val="32"/>
          <w:szCs w:val="32"/>
        </w:rPr>
        <w:t>欠汽车租赁费。</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楷体_GB2312" w:hAnsi="楷体_GB2312" w:eastAsia="楷体_GB2312" w:cs="楷体_GB2312"/>
          <w:spacing w:val="11"/>
          <w:kern w:val="0"/>
          <w:sz w:val="32"/>
          <w:szCs w:val="32"/>
        </w:rPr>
      </w:pPr>
      <w:r>
        <w:rPr>
          <w:rFonts w:hint="eastAsia" w:ascii="楷体_GB2312" w:hAnsi="楷体_GB2312" w:eastAsia="楷体_GB2312" w:cs="楷体_GB2312"/>
          <w:spacing w:val="11"/>
          <w:kern w:val="0"/>
          <w:sz w:val="32"/>
          <w:szCs w:val="32"/>
          <w:lang w:eastAsia="zh-CN"/>
        </w:rPr>
        <w:t>（二）</w:t>
      </w:r>
      <w:r>
        <w:rPr>
          <w:rFonts w:hint="eastAsia" w:ascii="楷体_GB2312" w:hAnsi="楷体_GB2312" w:eastAsia="楷体_GB2312" w:cs="楷体_GB2312"/>
          <w:spacing w:val="11"/>
          <w:kern w:val="0"/>
          <w:sz w:val="32"/>
          <w:szCs w:val="32"/>
        </w:rPr>
        <w:t>政府采购支出情况</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本部门2018年度财政性资金政府采购支出总额113.60万元，其中：授予中小企业政府采购合同金额113.60万元，占政府采购支出的100%，政府采购货物支出113.60万元，比2017年增加50.25万元，增长79.30%，主要原因是：通过政府采购新增公务用车1辆，同时因人员调动新增电脑、办公桌椅等；政府采购工程支出0.00万元，比2017年增加0.00万元，增长0.00%，主要原因是：我部门无采购工程；政府采购服务支出0.00万元，比2017年增加0.00万元，增长0.00%，主要原因是：我部门无采购服务情况。</w:t>
      </w:r>
    </w:p>
    <w:p>
      <w:pPr>
        <w:keepNext w:val="0"/>
        <w:keepLines w:val="0"/>
        <w:pageBreakBefore w:val="0"/>
        <w:widowControl w:val="0"/>
        <w:numPr>
          <w:ilvl w:val="0"/>
          <w:numId w:val="2"/>
        </w:numPr>
        <w:suppressLineNumbers w:val="0"/>
        <w:kinsoku/>
        <w:wordWrap/>
        <w:overflowPunct/>
        <w:topLinePunct w:val="0"/>
        <w:autoSpaceDN/>
        <w:bidi w:val="0"/>
        <w:adjustRightInd w:val="0"/>
        <w:spacing w:before="0" w:beforeAutospacing="0" w:after="0" w:afterAutospacing="0" w:line="580" w:lineRule="exact"/>
        <w:ind w:left="0" w:leftChars="0" w:right="0" w:firstLine="601" w:firstLineChars="0"/>
        <w:jc w:val="left"/>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国有资产占用情况</w:t>
      </w:r>
    </w:p>
    <w:p>
      <w:pPr>
        <w:keepNext w:val="0"/>
        <w:keepLines w:val="0"/>
        <w:pageBreakBefore w:val="0"/>
        <w:widowControl w:val="0"/>
        <w:suppressLineNumbers w:val="0"/>
        <w:kinsoku/>
        <w:wordWrap/>
        <w:overflowPunct/>
        <w:topLinePunct w:val="0"/>
        <w:autoSpaceDE w:val="0"/>
        <w:autoSpaceDN/>
        <w:bidi w:val="0"/>
        <w:adjustRightInd w:val="0"/>
        <w:spacing w:before="0" w:beforeAutospacing="0" w:after="0" w:afterAutospacing="0" w:line="580" w:lineRule="exact"/>
        <w:ind w:left="0" w:right="0" w:firstLine="684" w:firstLineChars="200"/>
        <w:jc w:val="both"/>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截至2018年12月31日，本部门共有车辆21辆，其中，副部（省）级及以上领导用车0辆,主要用于：本部门无副部（省）级及以上领导;主要领导干部用车1辆，主要用于：厅级领导干部公务用车;机要通信用车5辆，主要用于：日常机关公务用车;应急保障用车0辆，主要用于：本部门无该用途;执法执勤用车0辆，主要用于：本部门无此用途；特种专业技术用车0辆，主要用于：本部门无此用途；离退休干部用车1辆，主要用于：离退休干部活动；其他用车14辆，主要用于外出调研、公务接待、集中举办会议和培训等。单位价值50万元以上通用设备0台（套），主要是无该价值设备，比2017年增加0.00台（套），主要原因是无变化;单位价值100万元以上专用设备0台（套），主要是无该价值设备，比2017年增加0.00台（套），主要原因是无变化。</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楷体_GB2312" w:hAnsi="楷体_GB2312" w:eastAsia="楷体_GB2312" w:cs="楷体_GB2312"/>
          <w:spacing w:val="11"/>
          <w:kern w:val="0"/>
          <w:sz w:val="32"/>
          <w:szCs w:val="32"/>
        </w:rPr>
      </w:pPr>
      <w:r>
        <w:rPr>
          <w:rFonts w:hint="eastAsia" w:ascii="楷体_GB2312" w:hAnsi="楷体_GB2312" w:eastAsia="楷体_GB2312" w:cs="楷体_GB2312"/>
          <w:spacing w:val="11"/>
          <w:kern w:val="0"/>
          <w:sz w:val="32"/>
          <w:szCs w:val="32"/>
          <w:lang w:eastAsia="zh-CN"/>
        </w:rPr>
        <w:t>（三）</w:t>
      </w:r>
      <w:r>
        <w:rPr>
          <w:rFonts w:hint="eastAsia" w:ascii="楷体_GB2312" w:hAnsi="楷体_GB2312" w:eastAsia="楷体_GB2312" w:cs="楷体_GB2312"/>
          <w:spacing w:val="11"/>
          <w:kern w:val="0"/>
          <w:sz w:val="32"/>
          <w:szCs w:val="32"/>
        </w:rPr>
        <w:t>预算绩效管理工作开展情况</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color w:val="000000"/>
          <w:spacing w:val="6"/>
          <w:kern w:val="0"/>
          <w:sz w:val="32"/>
          <w:szCs w:val="32"/>
        </w:rPr>
      </w:pPr>
      <w:r>
        <w:rPr>
          <w:rFonts w:hint="eastAsia" w:ascii="仿宋_GB2312" w:hAnsi="仿宋_GB2312" w:eastAsia="仿宋_GB2312" w:cs="仿宋_GB2312"/>
          <w:color w:val="000000"/>
          <w:spacing w:val="6"/>
          <w:kern w:val="0"/>
          <w:sz w:val="32"/>
          <w:szCs w:val="32"/>
        </w:rPr>
        <w:t>我部门因无预算绩效管理项目，未开展预算绩效管理工作。</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color w:val="000000"/>
          <w:spacing w:val="6"/>
          <w:kern w:val="0"/>
          <w:sz w:val="32"/>
          <w:szCs w:val="32"/>
        </w:rPr>
      </w:pPr>
    </w:p>
    <w:p>
      <w:pPr>
        <w:keepNext w:val="0"/>
        <w:keepLines w:val="0"/>
        <w:pageBreakBefore w:val="0"/>
        <w:widowControl w:val="0"/>
        <w:numPr>
          <w:ilvl w:val="0"/>
          <w:numId w:val="0"/>
        </w:numPr>
        <w:suppressLineNumbers w:val="0"/>
        <w:kinsoku/>
        <w:wordWrap/>
        <w:overflowPunct/>
        <w:topLinePunct w:val="0"/>
        <w:autoSpaceDN/>
        <w:bidi w:val="0"/>
        <w:adjustRightInd w:val="0"/>
        <w:spacing w:before="0" w:beforeAutospacing="0" w:after="0" w:afterAutospacing="0" w:line="580" w:lineRule="exact"/>
        <w:ind w:right="0" w:rightChars="0"/>
        <w:jc w:val="center"/>
        <w:textAlignment w:val="auto"/>
        <w:rPr>
          <w:rFonts w:hint="eastAsia" w:ascii="黑体" w:hAnsi="黑体" w:eastAsia="黑体" w:cs="黑体"/>
          <w:b w:val="0"/>
          <w:bCs/>
          <w:spacing w:val="11"/>
          <w:kern w:val="0"/>
          <w:sz w:val="32"/>
          <w:szCs w:val="32"/>
        </w:rPr>
      </w:pPr>
      <w:r>
        <w:rPr>
          <w:rFonts w:hint="eastAsia" w:ascii="黑体" w:hAnsi="黑体" w:eastAsia="黑体" w:cs="黑体"/>
          <w:b w:val="0"/>
          <w:bCs/>
          <w:spacing w:val="11"/>
          <w:kern w:val="0"/>
          <w:sz w:val="32"/>
          <w:szCs w:val="32"/>
          <w:lang w:eastAsia="zh-CN"/>
        </w:rPr>
        <w:t>第三部分</w:t>
      </w:r>
      <w:r>
        <w:rPr>
          <w:rFonts w:hint="eastAsia" w:ascii="黑体" w:hAnsi="黑体" w:eastAsia="黑体" w:cs="黑体"/>
          <w:b w:val="0"/>
          <w:bCs/>
          <w:spacing w:val="11"/>
          <w:kern w:val="0"/>
          <w:sz w:val="32"/>
          <w:szCs w:val="32"/>
          <w:lang w:val="en-US" w:eastAsia="zh-CN"/>
        </w:rPr>
        <w:t xml:space="preserve">  </w:t>
      </w:r>
      <w:r>
        <w:rPr>
          <w:rFonts w:hint="eastAsia" w:ascii="黑体" w:hAnsi="黑体" w:eastAsia="黑体" w:cs="黑体"/>
          <w:b w:val="0"/>
          <w:bCs/>
          <w:spacing w:val="11"/>
          <w:kern w:val="0"/>
          <w:sz w:val="32"/>
          <w:szCs w:val="32"/>
        </w:rPr>
        <w:t>名词解释</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（一）财政拨款收入：指本年度从本级财政部门取得的财政拨款，包括一般公共预算财政拨款和政府性基金预算财政拨款。</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二）其他收入：指单位取得的除“财政拨款收入”、“事业收入”、“经营收入”等以外的收入，包括未纳入财政预算或财政专户管理的投资收益、银行存款利息收入、租金收入、捐赠收入，现金盘盈收入、存货盘盈收入、收回已核销的应收及预付款项、无法偿付的应付及预收款项等。各单位从本级财政部门以外的同级单位取得的经费、从非本级财政部门取得的经费，以及行政单位收到的财政专户管理资金填列在本项内。</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（三）年初结转和结余：指单位上年结转本年使用的基本支出结转、项目支出结转和结余、经营结余。不包括事业单位净资产项下的事业基金和专用基金。</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（四）年末结转和结余：指单位结转下年的基本支出结转、项目支出结转和结余、经营结余。不包括事业单位净资产项下的事业基金和专用基金。</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五）基本支出：指为保障机构正常运转、完成日常工作任务而发生的人员经费和公用经费。其中：人员经费指政府收支分类经济科目中的“工资福利支出”和“对个人和家庭的补助”；公用经费指政府收支分类经济科目中除“工资福利支出”和“对个人和家庭的补助”外的其他支出。</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（六）项目支出：指在基本支出之外为完成特定行政任务和事业发展目标所发生的支出。</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七）“三公”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八）机关运行经费：为保障行政单位（含参照公务员法管理的事业单位）运行用于购买货物和服务等的各项公用经费，包括办公及印刷费、邮电费、差旅费、会议费、福利费、日常维护费、专用材料及一般设备购置费、办公用房水电费、办公用房取暖费、办公用房物业管理费、公务用车运行维护费以及其他费用。</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（九）工资福利支出（支出经济分类科目类级）：反映单位开支的在职职工和编制外长期聘用人员的各类劳动报酬，以及为上述人员缴纳的各项社会保险费等。</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（十）商品和服务支出（支出经济分类科目类级）：反映单位购买商品和服务的支出（不包括用于购置固定资产的支出、战略性和应急储备支出）。</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（十一）对个人和家庭的补助（支出经济分类科目类级）：反映用于对个人和家庭的补助支出。</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b/>
          <w:spacing w:val="11"/>
          <w:kern w:val="0"/>
          <w:sz w:val="32"/>
          <w:szCs w:val="32"/>
        </w:rPr>
      </w:pPr>
      <w:r>
        <w:rPr>
          <w:rFonts w:hint="eastAsia" w:ascii="仿宋_GB2312" w:hAnsi="仿宋_GB2312" w:eastAsia="仿宋_GB2312" w:cs="仿宋_GB2312"/>
          <w:spacing w:val="11"/>
          <w:kern w:val="0"/>
          <w:sz w:val="32"/>
          <w:szCs w:val="32"/>
        </w:rPr>
        <w:t>（十二）其他资本性支出（支出经济分类科目类级）：反映非各级发展与改革部门集中安排的用于购置固定资产、战略性和应急性储备、土地和无形资产，以及构建基础设施、大型修缮和财政支持企业更新改造所发生的支出。</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黑体" w:hAnsi="黑体" w:eastAsia="黑体" w:cs="黑体"/>
          <w:b w:val="0"/>
          <w:bCs/>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仿宋_GB2312" w:hAnsi="仿宋_GB2312" w:eastAsia="仿宋_GB2312" w:cs="仿宋_GB2312"/>
          <w:spacing w:val="11"/>
          <w:kern w:val="0"/>
          <w:sz w:val="32"/>
          <w:szCs w:val="32"/>
        </w:rPr>
      </w:pPr>
      <w:r>
        <w:rPr>
          <w:rFonts w:hint="eastAsia" w:ascii="黑体" w:hAnsi="黑体" w:eastAsia="黑体" w:cs="黑体"/>
          <w:b w:val="0"/>
          <w:bCs/>
          <w:spacing w:val="11"/>
          <w:kern w:val="0"/>
          <w:sz w:val="32"/>
          <w:szCs w:val="32"/>
        </w:rPr>
        <w:t>第四部分 决算公开联系方式及信息反馈渠道</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spacing w:val="11"/>
          <w:kern w:val="0"/>
          <w:sz w:val="32"/>
          <w:szCs w:val="32"/>
        </w:rPr>
      </w:pPr>
      <w:r>
        <w:rPr>
          <w:rFonts w:hint="eastAsia" w:ascii="仿宋_GB2312" w:hAnsi="仿宋_GB2312" w:eastAsia="仿宋_GB2312" w:cs="仿宋_GB2312"/>
          <w:spacing w:val="11"/>
          <w:kern w:val="0"/>
          <w:sz w:val="32"/>
          <w:szCs w:val="32"/>
        </w:rPr>
        <w:t>本单位决算公开信息反馈和联系方式：</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0"/>
        <w:textAlignment w:val="auto"/>
        <w:rPr>
          <w:rFonts w:hint="eastAsia" w:ascii="仿宋_GB2312" w:hAnsi="仿宋_GB2312" w:eastAsia="仿宋_GB2312" w:cs="仿宋_GB2312"/>
          <w:b/>
          <w:spacing w:val="11"/>
          <w:kern w:val="0"/>
          <w:sz w:val="32"/>
          <w:szCs w:val="32"/>
        </w:rPr>
      </w:pPr>
      <w:r>
        <w:rPr>
          <w:rFonts w:hint="eastAsia" w:ascii="仿宋_GB2312" w:hAnsi="仿宋_GB2312" w:eastAsia="仿宋_GB2312" w:cs="仿宋_GB2312"/>
          <w:spacing w:val="11"/>
          <w:kern w:val="0"/>
          <w:sz w:val="32"/>
          <w:szCs w:val="32"/>
        </w:rPr>
        <w:t>联系人：秦雅靖     联系电话：0470-8216687</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黑体" w:hAnsi="黑体" w:eastAsia="黑体" w:cs="黑体"/>
          <w:b w:val="0"/>
          <w:bCs/>
          <w:spacing w:val="11"/>
          <w:kern w:val="0"/>
          <w:sz w:val="32"/>
          <w:szCs w:val="32"/>
        </w:rPr>
      </w:pP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center"/>
        <w:textAlignment w:val="auto"/>
        <w:rPr>
          <w:rFonts w:hint="eastAsia" w:ascii="黑体" w:hAnsi="黑体" w:eastAsia="黑体" w:cs="黑体"/>
          <w:b w:val="0"/>
          <w:bCs/>
          <w:spacing w:val="11"/>
          <w:kern w:val="0"/>
          <w:sz w:val="32"/>
          <w:szCs w:val="32"/>
          <w:lang w:val="en-US" w:eastAsia="zh-CN"/>
        </w:rPr>
      </w:pPr>
      <w:r>
        <w:rPr>
          <w:rFonts w:hint="eastAsia" w:ascii="黑体" w:hAnsi="黑体" w:eastAsia="黑体" w:cs="黑体"/>
          <w:b w:val="0"/>
          <w:bCs/>
          <w:spacing w:val="11"/>
          <w:kern w:val="0"/>
          <w:sz w:val="32"/>
          <w:szCs w:val="32"/>
        </w:rPr>
        <w:t>第五部分 部门决算公开表</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spacing w:val="11"/>
          <w:kern w:val="0"/>
          <w:sz w:val="32"/>
          <w:szCs w:val="32"/>
          <w:highlight w:val="white"/>
        </w:rPr>
      </w:pPr>
      <w:r>
        <w:rPr>
          <w:rFonts w:hint="eastAsia" w:ascii="仿宋_GB2312" w:hAnsi="仿宋_GB2312" w:eastAsia="仿宋_GB2312" w:cs="仿宋_GB2312"/>
          <w:b/>
          <w:spacing w:val="11"/>
          <w:kern w:val="0"/>
          <w:sz w:val="32"/>
          <w:szCs w:val="32"/>
          <w:highlight w:val="white"/>
        </w:rPr>
        <w:t xml:space="preserve">   </w:t>
      </w:r>
      <w:r>
        <w:rPr>
          <w:rFonts w:hint="eastAsia" w:ascii="仿宋_GB2312" w:hAnsi="仿宋_GB2312" w:eastAsia="仿宋_GB2312" w:cs="仿宋_GB2312"/>
          <w:b/>
          <w:spacing w:val="11"/>
          <w:kern w:val="0"/>
          <w:sz w:val="32"/>
          <w:szCs w:val="32"/>
          <w:highlight w:val="white"/>
          <w:lang w:val="en-US" w:eastAsia="zh-CN"/>
        </w:rPr>
        <w:t xml:space="preserve"> </w:t>
      </w:r>
      <w:r>
        <w:rPr>
          <w:rFonts w:hint="eastAsia" w:ascii="仿宋_GB2312" w:hAnsi="仿宋_GB2312" w:eastAsia="仿宋_GB2312" w:cs="仿宋_GB2312"/>
          <w:spacing w:val="11"/>
          <w:kern w:val="0"/>
          <w:sz w:val="32"/>
          <w:szCs w:val="32"/>
          <w:highlight w:val="white"/>
        </w:rPr>
        <w:t>一、收入支出决算总表</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spacing w:val="11"/>
          <w:kern w:val="0"/>
          <w:sz w:val="32"/>
          <w:szCs w:val="32"/>
          <w:highlight w:val="white"/>
        </w:rPr>
      </w:pPr>
      <w:r>
        <w:rPr>
          <w:rFonts w:hint="eastAsia" w:ascii="仿宋_GB2312" w:hAnsi="仿宋_GB2312" w:eastAsia="仿宋_GB2312" w:cs="仿宋_GB2312"/>
          <w:spacing w:val="11"/>
          <w:kern w:val="0"/>
          <w:sz w:val="32"/>
          <w:szCs w:val="32"/>
          <w:highlight w:val="white"/>
        </w:rPr>
        <w:t xml:space="preserve">    二、收入决算表</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spacing w:val="11"/>
          <w:kern w:val="0"/>
          <w:sz w:val="32"/>
          <w:szCs w:val="32"/>
          <w:highlight w:val="white"/>
        </w:rPr>
      </w:pPr>
      <w:r>
        <w:rPr>
          <w:rFonts w:hint="eastAsia" w:ascii="仿宋_GB2312" w:hAnsi="仿宋_GB2312" w:eastAsia="仿宋_GB2312" w:cs="仿宋_GB2312"/>
          <w:spacing w:val="11"/>
          <w:kern w:val="0"/>
          <w:sz w:val="32"/>
          <w:szCs w:val="32"/>
          <w:highlight w:val="white"/>
        </w:rPr>
        <w:t xml:space="preserve">    三、支出决算表</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spacing w:val="11"/>
          <w:kern w:val="0"/>
          <w:sz w:val="32"/>
          <w:szCs w:val="32"/>
          <w:highlight w:val="white"/>
        </w:rPr>
      </w:pPr>
      <w:r>
        <w:rPr>
          <w:rFonts w:hint="eastAsia" w:ascii="仿宋_GB2312" w:hAnsi="仿宋_GB2312" w:eastAsia="仿宋_GB2312" w:cs="仿宋_GB2312"/>
          <w:spacing w:val="11"/>
          <w:kern w:val="0"/>
          <w:sz w:val="32"/>
          <w:szCs w:val="32"/>
          <w:highlight w:val="white"/>
        </w:rPr>
        <w:t xml:space="preserve">    四、财政拨款收入支出决算总表</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spacing w:val="11"/>
          <w:kern w:val="0"/>
          <w:sz w:val="32"/>
          <w:szCs w:val="32"/>
          <w:highlight w:val="white"/>
        </w:rPr>
      </w:pPr>
      <w:r>
        <w:rPr>
          <w:rFonts w:hint="eastAsia" w:ascii="仿宋_GB2312" w:hAnsi="仿宋_GB2312" w:eastAsia="仿宋_GB2312" w:cs="仿宋_GB2312"/>
          <w:spacing w:val="11"/>
          <w:kern w:val="0"/>
          <w:sz w:val="32"/>
          <w:szCs w:val="32"/>
          <w:highlight w:val="white"/>
        </w:rPr>
        <w:t xml:space="preserve">    五、一般公共预算财政拨款支出决算表</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spacing w:val="11"/>
          <w:kern w:val="0"/>
          <w:sz w:val="32"/>
          <w:szCs w:val="32"/>
          <w:highlight w:val="white"/>
        </w:rPr>
      </w:pPr>
      <w:r>
        <w:rPr>
          <w:rFonts w:hint="eastAsia" w:ascii="仿宋_GB2312" w:hAnsi="仿宋_GB2312" w:eastAsia="仿宋_GB2312" w:cs="仿宋_GB2312"/>
          <w:spacing w:val="11"/>
          <w:kern w:val="0"/>
          <w:sz w:val="32"/>
          <w:szCs w:val="32"/>
          <w:highlight w:val="white"/>
        </w:rPr>
        <w:t xml:space="preserve">    六、一般公共预算财政拨款基本支出决算明细表</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spacing w:val="11"/>
          <w:kern w:val="0"/>
          <w:sz w:val="32"/>
          <w:szCs w:val="32"/>
          <w:highlight w:val="white"/>
        </w:rPr>
      </w:pPr>
      <w:r>
        <w:rPr>
          <w:rFonts w:hint="eastAsia" w:ascii="仿宋_GB2312" w:hAnsi="仿宋_GB2312" w:eastAsia="仿宋_GB2312" w:cs="仿宋_GB2312"/>
          <w:spacing w:val="11"/>
          <w:kern w:val="0"/>
          <w:sz w:val="32"/>
          <w:szCs w:val="32"/>
          <w:highlight w:val="white"/>
        </w:rPr>
        <w:t xml:space="preserve">    七、政府性基金财政拨款支出决算表</w:t>
      </w:r>
    </w:p>
    <w:p>
      <w:pPr>
        <w:keepNext w:val="0"/>
        <w:keepLines w:val="0"/>
        <w:pageBreakBefore w:val="0"/>
        <w:widowControl w:val="0"/>
        <w:suppressLineNumbers w:val="0"/>
        <w:kinsoku/>
        <w:wordWrap/>
        <w:overflowPunct/>
        <w:topLinePunct w:val="0"/>
        <w:autoSpaceDN/>
        <w:bidi w:val="0"/>
        <w:adjustRightInd w:val="0"/>
        <w:spacing w:before="0" w:beforeAutospacing="0" w:after="0" w:afterAutospacing="0" w:line="580" w:lineRule="exact"/>
        <w:ind w:left="0" w:right="0" w:firstLine="601"/>
        <w:jc w:val="left"/>
        <w:textAlignment w:val="auto"/>
        <w:rPr>
          <w:rFonts w:hint="eastAsia" w:ascii="仿宋_GB2312" w:hAnsi="仿宋_GB2312" w:eastAsia="仿宋_GB2312" w:cs="仿宋_GB2312"/>
          <w:spacing w:val="11"/>
          <w:kern w:val="0"/>
          <w:sz w:val="32"/>
          <w:szCs w:val="32"/>
          <w:highlight w:val="white"/>
        </w:rPr>
      </w:pPr>
      <w:r>
        <w:rPr>
          <w:rFonts w:hint="eastAsia" w:ascii="仿宋_GB2312" w:hAnsi="仿宋_GB2312" w:eastAsia="仿宋_GB2312" w:cs="仿宋_GB2312"/>
          <w:spacing w:val="11"/>
          <w:kern w:val="0"/>
          <w:sz w:val="32"/>
          <w:szCs w:val="32"/>
          <w:highlight w:val="white"/>
        </w:rPr>
        <w:t xml:space="preserve">    八、部门决算相关信息统计表</w:t>
      </w:r>
    </w:p>
    <w:p>
      <w:pPr>
        <w:keepNext w:val="0"/>
        <w:keepLines w:val="0"/>
        <w:pageBreakBefore w:val="0"/>
        <w:widowControl/>
        <w:suppressLineNumbers w:val="0"/>
        <w:kinsoku/>
        <w:wordWrap/>
        <w:overflowPunct/>
        <w:topLinePunct w:val="0"/>
        <w:autoSpaceDN/>
        <w:bidi w:val="0"/>
        <w:adjustRightInd w:val="0"/>
        <w:spacing w:before="0" w:beforeAutospacing="0" w:after="0" w:afterAutospacing="0" w:line="600" w:lineRule="exact"/>
        <w:ind w:left="0" w:right="0" w:firstLine="601"/>
        <w:jc w:val="left"/>
        <w:textAlignment w:val="auto"/>
        <w:rPr>
          <w:rFonts w:hint="eastAsia" w:ascii="仿宋_GB2312" w:hAnsi="仿宋_GB2312" w:eastAsia="仿宋_GB2312" w:cs="仿宋_GB2312"/>
          <w:spacing w:val="11"/>
          <w:sz w:val="32"/>
          <w:szCs w:val="32"/>
          <w:lang w:val="en-US" w:eastAsia="zh-CN"/>
        </w:rPr>
      </w:pPr>
      <w:r>
        <w:rPr>
          <w:rFonts w:hint="eastAsia" w:ascii="仿宋_GB2312" w:hAnsi="仿宋_GB2312" w:eastAsia="仿宋_GB2312" w:cs="仿宋_GB2312"/>
          <w:b/>
          <w:spacing w:val="11"/>
          <w:kern w:val="0"/>
          <w:sz w:val="32"/>
          <w:szCs w:val="32"/>
        </w:rPr>
        <w:t xml:space="preserve"> </w:t>
      </w:r>
    </w:p>
    <w:sectPr>
      <w:footerReference r:id="rId3" w:type="default"/>
      <w:pgSz w:w="11906" w:h="16838"/>
      <w:pgMar w:top="2098" w:right="1531" w:bottom="1984" w:left="1531"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仿宋简体">
    <w:altName w:val="宋体"/>
    <w:panose1 w:val="03000509000000000000"/>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方正小标宋简体">
    <w:altName w:val="Arial Unicode MS"/>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center" w:pos="4422"/>
        <w:tab w:val="clear" w:pos="4153"/>
      </w:tabs>
    </w:pPr>
    <w:r>
      <w:rPr>
        <w:sz w:val="18"/>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-266700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tabs>
                              <w:tab w:val="center" w:pos="4422"/>
                              <w:tab w:val="clear" w:pos="4153"/>
                            </w:tabs>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21pt;height:144pt;width:144pt;mso-position-horizontal:outside;mso-position-horizontal-relative:margin;mso-wrap-style:none;z-index:251664384;mso-width-relative:page;mso-height-relative:page;" filled="f" stroked="f" coordsize="21600,21600" o:gfxdata="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SZn8DUAAAACAEAAA8AAAAAAAAAAQAg&#10;AAAAIgAAAGRycy9kb3ducmV2LnhtbFBLAQIUABQAAAAIAIdO4kBK283/EgIAABMEAAAOAAAAAAAA&#10;AAEAIAAAACMBAABkcnMvZTJvRG9jLnhtbFBLBQYAAAAABgAGAFkBAACnBQAAAAA=&#10;">
              <v:fill on="f" focussize="0,0"/>
              <v:stroke on="f" weight="0.5pt"/>
              <v:imagedata o:title=""/>
              <o:lock v:ext="edit" aspectratio="f"/>
              <v:textbox inset="0mm,0mm,0mm,0mm" style="mso-fit-shape-to-text:t;">
                <w:txbxContent>
                  <w:p>
                    <w:pPr>
                      <w:pStyle w:val="3"/>
                      <w:tabs>
                        <w:tab w:val="center" w:pos="4422"/>
                        <w:tab w:val="clear" w:pos="4153"/>
                      </w:tabs>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lang w:eastAsia="zh-CN"/>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B618E7"/>
    <w:multiLevelType w:val="multilevel"/>
    <w:tmpl w:val="85B618E7"/>
    <w:lvl w:ilvl="0" w:tentative="0">
      <w:start w:val="2"/>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C2AE8A8A"/>
    <w:multiLevelType w:val="multilevel"/>
    <w:tmpl w:val="C2AE8A8A"/>
    <w:lvl w:ilvl="0" w:tentative="0">
      <w:start w:val="2"/>
      <w:numFmt w:val="decimal"/>
      <w:suff w:val="nothing"/>
      <w:lvlText w:val="%1、"/>
      <w:lvlJc w:val="left"/>
      <w:pPr>
        <w:ind w:left="84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D675A5"/>
    <w:rsid w:val="02247600"/>
    <w:rsid w:val="03EA6C48"/>
    <w:rsid w:val="03F038CD"/>
    <w:rsid w:val="07F65B60"/>
    <w:rsid w:val="0DB934CF"/>
    <w:rsid w:val="11F661E6"/>
    <w:rsid w:val="126247AC"/>
    <w:rsid w:val="12831418"/>
    <w:rsid w:val="1F776323"/>
    <w:rsid w:val="264E6903"/>
    <w:rsid w:val="266D4002"/>
    <w:rsid w:val="282D04EC"/>
    <w:rsid w:val="2AC951C5"/>
    <w:rsid w:val="2E9B6AD8"/>
    <w:rsid w:val="307C165F"/>
    <w:rsid w:val="311F2FF6"/>
    <w:rsid w:val="31F5072E"/>
    <w:rsid w:val="325356CB"/>
    <w:rsid w:val="344F5302"/>
    <w:rsid w:val="35584268"/>
    <w:rsid w:val="378F49C7"/>
    <w:rsid w:val="4265261A"/>
    <w:rsid w:val="449B1F4B"/>
    <w:rsid w:val="4B160A9D"/>
    <w:rsid w:val="4B4B440B"/>
    <w:rsid w:val="4CA97705"/>
    <w:rsid w:val="511D219F"/>
    <w:rsid w:val="52EB1C3A"/>
    <w:rsid w:val="53926009"/>
    <w:rsid w:val="56E42D12"/>
    <w:rsid w:val="57C21F39"/>
    <w:rsid w:val="591B41B8"/>
    <w:rsid w:val="5CC42890"/>
    <w:rsid w:val="5F170268"/>
    <w:rsid w:val="5FE25799"/>
    <w:rsid w:val="612010ED"/>
    <w:rsid w:val="63CA29AA"/>
    <w:rsid w:val="642A4D8C"/>
    <w:rsid w:val="65A834AB"/>
    <w:rsid w:val="6865486D"/>
    <w:rsid w:val="68B159EA"/>
    <w:rsid w:val="693F1FE9"/>
    <w:rsid w:val="699D4DC6"/>
    <w:rsid w:val="6A760183"/>
    <w:rsid w:val="6AF43546"/>
    <w:rsid w:val="701C34DF"/>
    <w:rsid w:val="71913B08"/>
    <w:rsid w:val="73FB3CDF"/>
    <w:rsid w:val="74602135"/>
    <w:rsid w:val="77D675A5"/>
    <w:rsid w:val="78BA4736"/>
    <w:rsid w:val="78E14E7F"/>
    <w:rsid w:val="7E3868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8">
    <w:name w:val="Hyperlink"/>
    <w:basedOn w:val="7"/>
    <w:qFormat/>
    <w:uiPriority w:val="0"/>
    <w:rPr>
      <w:color w:val="0000FF"/>
      <w:u w:val="single"/>
    </w:rPr>
  </w:style>
  <w:style w:type="paragraph" w:customStyle="1" w:styleId="9">
    <w:name w:val="公文正文"/>
    <w:link w:val="17"/>
    <w:qFormat/>
    <w:uiPriority w:val="0"/>
    <w:pPr>
      <w:spacing w:line="600" w:lineRule="exact"/>
      <w:ind w:firstLine="640" w:firstLineChars="200"/>
      <w:jc w:val="both"/>
    </w:pPr>
    <w:rPr>
      <w:rFonts w:ascii="仿宋_GB2312" w:hAnsi="仿宋_GB2312" w:eastAsia="仿宋_GB2312" w:cs="仿宋_GB2312"/>
      <w:bCs/>
      <w:kern w:val="44"/>
      <w:sz w:val="32"/>
      <w:szCs w:val="32"/>
      <w:lang w:val="en-US" w:eastAsia="zh-CN" w:bidi="ar-SA"/>
    </w:rPr>
  </w:style>
  <w:style w:type="paragraph" w:customStyle="1" w:styleId="10">
    <w:name w:val="白纸"/>
    <w:basedOn w:val="1"/>
    <w:qFormat/>
    <w:uiPriority w:val="0"/>
    <w:pPr>
      <w:spacing w:line="424" w:lineRule="atLeast"/>
      <w:ind w:firstLine="419" w:firstLineChars="0"/>
    </w:pPr>
    <w:rPr>
      <w:rFonts w:eastAsia="方正仿宋简体"/>
      <w:sz w:val="32"/>
    </w:rPr>
  </w:style>
  <w:style w:type="paragraph" w:customStyle="1" w:styleId="11">
    <w:name w:val="一级标题"/>
    <w:next w:val="9"/>
    <w:qFormat/>
    <w:uiPriority w:val="0"/>
    <w:pPr>
      <w:spacing w:line="600" w:lineRule="exact"/>
      <w:ind w:firstLine="600" w:firstLineChars="200"/>
      <w:jc w:val="both"/>
      <w:outlineLvl w:val="0"/>
    </w:pPr>
    <w:rPr>
      <w:rFonts w:eastAsia="黑体" w:asciiTheme="minorHAnsi" w:hAnsiTheme="minorHAnsi" w:cstheme="minorBidi"/>
      <w:bCs/>
      <w:kern w:val="44"/>
      <w:sz w:val="30"/>
      <w:szCs w:val="30"/>
      <w:lang w:val="en-US" w:eastAsia="zh-CN" w:bidi="ar-SA"/>
    </w:rPr>
  </w:style>
  <w:style w:type="character" w:customStyle="1" w:styleId="12">
    <w:name w:val="单位人名 字符"/>
    <w:basedOn w:val="13"/>
    <w:link w:val="16"/>
    <w:qFormat/>
    <w:uiPriority w:val="0"/>
    <w:rPr>
      <w:rFonts w:ascii="华文楷体" w:hAnsi="华文楷体" w:eastAsia="华文楷体" w:cs="华文楷体"/>
      <w:sz w:val="32"/>
      <w:szCs w:val="32"/>
    </w:rPr>
  </w:style>
  <w:style w:type="character" w:customStyle="1" w:styleId="13">
    <w:name w:val="大标题 字符"/>
    <w:basedOn w:val="14"/>
    <w:link w:val="15"/>
    <w:qFormat/>
    <w:uiPriority w:val="0"/>
    <w:rPr>
      <w:rFonts w:ascii="方正小标宋简体" w:hAnsi="方正小标宋简体" w:eastAsia="方正小标宋简体" w:cs="方正小标宋简体"/>
      <w:b w:val="0"/>
    </w:rPr>
  </w:style>
  <w:style w:type="character" w:customStyle="1" w:styleId="14">
    <w:name w:val="标题 1 字符"/>
    <w:basedOn w:val="7"/>
    <w:link w:val="2"/>
    <w:qFormat/>
    <w:uiPriority w:val="9"/>
    <w:rPr>
      <w:b/>
      <w:bCs/>
      <w:kern w:val="44"/>
      <w:sz w:val="44"/>
      <w:szCs w:val="44"/>
    </w:rPr>
  </w:style>
  <w:style w:type="paragraph" w:customStyle="1" w:styleId="15">
    <w:name w:val="大标题"/>
    <w:basedOn w:val="2"/>
    <w:link w:val="13"/>
    <w:qFormat/>
    <w:uiPriority w:val="0"/>
    <w:pPr>
      <w:keepNext w:val="0"/>
      <w:keepLines w:val="0"/>
      <w:spacing w:before="0" w:after="0" w:line="560" w:lineRule="exact"/>
      <w:jc w:val="center"/>
      <w:outlineLvl w:val="9"/>
    </w:pPr>
    <w:rPr>
      <w:rFonts w:ascii="方正小标宋简体" w:hAnsi="方正小标宋简体" w:eastAsia="方正小标宋简体" w:cs="方正小标宋简体"/>
      <w:b w:val="0"/>
    </w:rPr>
  </w:style>
  <w:style w:type="paragraph" w:customStyle="1" w:styleId="16">
    <w:name w:val="单位人名"/>
    <w:basedOn w:val="15"/>
    <w:link w:val="12"/>
    <w:qFormat/>
    <w:uiPriority w:val="0"/>
    <w:rPr>
      <w:rFonts w:ascii="华文楷体" w:hAnsi="华文楷体" w:eastAsia="华文楷体" w:cs="华文楷体"/>
      <w:sz w:val="32"/>
      <w:szCs w:val="32"/>
    </w:rPr>
  </w:style>
  <w:style w:type="character" w:customStyle="1" w:styleId="17">
    <w:name w:val="公文正文 字符"/>
    <w:basedOn w:val="13"/>
    <w:link w:val="9"/>
    <w:qFormat/>
    <w:uiPriority w:val="0"/>
    <w:rPr>
      <w:rFonts w:ascii="仿宋_GB2312" w:hAnsi="仿宋_GB2312" w:eastAsia="仿宋_GB2312" w:cs="仿宋_GB2312"/>
      <w:kern w:val="44"/>
      <w:sz w:val="32"/>
      <w:szCs w:val="32"/>
      <w:lang w:val="en-US" w:eastAsia="zh-CN" w:bidi="ar-SA"/>
    </w:rPr>
  </w:style>
  <w:style w:type="paragraph" w:customStyle="1" w:styleId="18">
    <w:name w:val="p0"/>
    <w:basedOn w:val="1"/>
    <w:qFormat/>
    <w:uiPriority w:val="0"/>
    <w:pPr>
      <w:widowControl/>
      <w:ind w:firstLine="420"/>
      <w:jc w:val="left"/>
    </w:pPr>
    <w:rPr>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Office_11.1.0.8567_F1E327BC-269C-435d-A152-05C5408002CA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2019-07-02T01:13:00Z</dcterms:created>
  <dc:creator>心中的向往</dc:creator>
  <cp:lastModifiedBy>Administrator</cp:lastModifiedBy>
  <cp:lastPrinted>2019-09-04T02:55:00Z</cp:lastPrinted>
  <dcterms:modified xsi:type="dcterms:W3CDTF">2019-09-07T07:29:07Z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2052-11.1.0.8567</vt:lpwstr>
  </property>
</Properties>
</file>