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8629C">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059C9892">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54FD6FE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576B3B1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473B596C">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37924A26">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4516EBD1">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043D9D2D">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7FD2EA02">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5ED585E4">
      <w:pPr>
        <w:autoSpaceDE w:val="0"/>
        <w:autoSpaceDN w:val="0"/>
        <w:adjustRightInd w:val="0"/>
        <w:spacing w:before="100" w:beforeAutospacing="1" w:after="100" w:afterAutospacing="1"/>
        <w:ind w:firstLine="601"/>
        <w:jc w:val="center"/>
      </w:pPr>
      <w:r>
        <w:rPr>
          <w:rFonts w:hint="eastAsia" w:ascii="仿宋_GB2312" w:hAnsi="Times New Roman" w:eastAsia="仿宋_GB2312"/>
          <w:b/>
          <w:bCs/>
          <w:sz w:val="44"/>
          <w:szCs w:val="44"/>
        </w:rPr>
        <w:t>内蒙古自治区呼伦贝尔市气象局</w:t>
      </w:r>
    </w:p>
    <w:p w14:paraId="552C781D">
      <w:pPr>
        <w:autoSpaceDE w:val="0"/>
        <w:autoSpaceDN w:val="0"/>
        <w:adjustRightInd w:val="0"/>
        <w:spacing w:before="100" w:beforeAutospacing="1" w:after="100" w:afterAutospacing="1"/>
        <w:ind w:firstLine="601"/>
        <w:jc w:val="center"/>
        <w:rPr>
          <w:rFonts w:hint="eastAsia" w:ascii="Times New Roman" w:hAnsi="Times New Roman" w:eastAsia="仿宋_GB2312" w:cs="Times New Roman"/>
          <w:b/>
          <w:bCs/>
          <w:sz w:val="44"/>
          <w:szCs w:val="44"/>
        </w:rPr>
      </w:pPr>
      <w:r>
        <w:rPr>
          <w:rFonts w:hint="eastAsia" w:ascii="仿宋_GB2312" w:hAnsi="Times New Roman" w:eastAsia="仿宋_GB2312"/>
          <w:b/>
          <w:bCs/>
          <w:sz w:val="44"/>
          <w:szCs w:val="44"/>
        </w:rPr>
        <w:t>2019年度决算公开报告</w:t>
      </w:r>
    </w:p>
    <w:p w14:paraId="2C444EA9">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14:paraId="3DE8C989">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14:paraId="3F81310E">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14:paraId="1DF88E97">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14:paraId="5BFEE72C">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14:paraId="62220CAA">
      <w:pPr>
        <w:autoSpaceDE w:val="0"/>
        <w:autoSpaceDN w:val="0"/>
        <w:adjustRightInd w:val="0"/>
        <w:spacing w:before="100" w:beforeAutospacing="1" w:after="100" w:afterAutospacing="1"/>
        <w:ind w:firstLine="601"/>
        <w:jc w:val="center"/>
        <w:rPr>
          <w:rFonts w:ascii="Times New Roman" w:hAnsi="Times New Roman" w:eastAsia="仿宋_GB2312" w:cs="Times New Roman"/>
          <w:b/>
          <w:bCs/>
          <w:sz w:val="44"/>
          <w:szCs w:val="44"/>
        </w:rPr>
      </w:pPr>
      <w:r>
        <w:rPr>
          <w:rFonts w:hint="eastAsia" w:ascii="仿宋_GB2312" w:hAnsi="Times New Roman" w:eastAsia="仿宋_GB2312"/>
          <w:b/>
          <w:bCs/>
          <w:sz w:val="44"/>
          <w:szCs w:val="44"/>
        </w:rPr>
        <w:t>目录</w:t>
      </w:r>
    </w:p>
    <w:p w14:paraId="50CE906C">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r>
        <w:rPr>
          <w:rFonts w:ascii="Times New Roman" w:hAnsi="Times New Roman" w:eastAsia="仿宋_GB2312" w:cs="Times New Roman"/>
          <w:b/>
          <w:bCs/>
          <w:sz w:val="44"/>
          <w:szCs w:val="44"/>
        </w:rPr>
        <w:t xml:space="preserve"> </w:t>
      </w:r>
    </w:p>
    <w:p w14:paraId="6D0AE29D">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第一部分</w:t>
      </w:r>
      <w:r>
        <w:rPr>
          <w:rFonts w:hint="eastAsia" w:ascii="黑体" w:hAnsi="Times New Roman" w:eastAsia="黑体"/>
          <w:b/>
          <w:bCs/>
          <w:sz w:val="32"/>
          <w:szCs w:val="32"/>
        </w:rPr>
        <w:t xml:space="preserve"> </w:t>
      </w:r>
      <w:r>
        <w:rPr>
          <w:rFonts w:hint="eastAsia" w:ascii="黑体" w:hAnsi="黑体" w:eastAsia="黑体"/>
          <w:b/>
          <w:bCs/>
          <w:sz w:val="32"/>
          <w:szCs w:val="32"/>
        </w:rPr>
        <w:t>部门基本情况</w:t>
      </w:r>
    </w:p>
    <w:p w14:paraId="3EAD7E75">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一、部门职责</w:t>
      </w:r>
    </w:p>
    <w:p w14:paraId="74652983">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二、机构设置</w:t>
      </w:r>
    </w:p>
    <w:p w14:paraId="0F89A76F">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第二部分</w:t>
      </w:r>
      <w:r>
        <w:rPr>
          <w:rFonts w:hint="eastAsia" w:ascii="黑体" w:hAnsi="Times New Roman" w:eastAsia="黑体"/>
          <w:b/>
          <w:bCs/>
          <w:sz w:val="32"/>
          <w:szCs w:val="32"/>
        </w:rPr>
        <w:t xml:space="preserve"> 2019</w:t>
      </w:r>
      <w:r>
        <w:rPr>
          <w:rFonts w:hint="eastAsia" w:ascii="黑体" w:hAnsi="黑体" w:eastAsia="黑体"/>
          <w:b/>
          <w:bCs/>
          <w:sz w:val="32"/>
          <w:szCs w:val="32"/>
        </w:rPr>
        <w:t>年度部门决算情况说明</w:t>
      </w:r>
    </w:p>
    <w:p w14:paraId="47816958">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一、关于2019年度预算执行情况分析</w:t>
      </w:r>
    </w:p>
    <w:p w14:paraId="4F0E7ADA">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二、关于2019年度决算情况说明</w:t>
      </w:r>
    </w:p>
    <w:p w14:paraId="0F11333D">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（一）关于收支情况总体说明</w:t>
      </w:r>
    </w:p>
    <w:p w14:paraId="6BAB714F">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（二）关于2019年度收入决算情况说明</w:t>
      </w:r>
    </w:p>
    <w:p w14:paraId="097032E6">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（三）关于2019年度支出决算情况说明</w:t>
      </w:r>
    </w:p>
    <w:p w14:paraId="104AAF77">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（四）关于2019年度财政拨款收入支出决算总体情况说明</w:t>
      </w:r>
    </w:p>
    <w:p w14:paraId="21F9881F">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（五）关于2019年度一般公共预算财政拨款支出决算情况说明</w:t>
      </w:r>
    </w:p>
    <w:p w14:paraId="7B141761">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（六）关于2019年度一般公共预算财政拨款基本支出决算情况说明</w:t>
      </w:r>
    </w:p>
    <w:p w14:paraId="28736BA0">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（七）关于2019年度财政拨款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经费支出决算情况说明</w:t>
      </w:r>
    </w:p>
    <w:p w14:paraId="66BFF5EF">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hint="eastAsia" w:ascii="仿宋_GB2312" w:hAnsi="Times New Roman" w:eastAsia="仿宋_GB2312"/>
          <w:sz w:val="32"/>
          <w:szCs w:val="32"/>
        </w:rPr>
        <w:t>1、财政拨款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经费支出决算总体情况说明</w:t>
      </w:r>
    </w:p>
    <w:p w14:paraId="0C30C285">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hint="eastAsia" w:ascii="仿宋_GB2312" w:hAnsi="Times New Roman" w:eastAsia="仿宋_GB2312"/>
          <w:sz w:val="32"/>
          <w:szCs w:val="32"/>
        </w:rPr>
        <w:t>2、财政拨款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经费支出决算具体情况说明</w:t>
      </w:r>
    </w:p>
    <w:p w14:paraId="5A83D718">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三、预算绩效情况说明</w:t>
      </w:r>
    </w:p>
    <w:p w14:paraId="4ACC3225">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（一）预算绩效管理工作开展情况</w:t>
      </w:r>
    </w:p>
    <w:p w14:paraId="22E2F065">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（二）部门决算中项目绩效自评结果</w:t>
      </w:r>
    </w:p>
    <w:p w14:paraId="3C0657C9">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四、其他重要事项的情况说明</w:t>
      </w:r>
    </w:p>
    <w:p w14:paraId="1C8627F7">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（一）机关运行经费支出情况</w:t>
      </w:r>
    </w:p>
    <w:p w14:paraId="47FAB14E">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（二）政府采购支出情况</w:t>
      </w:r>
    </w:p>
    <w:p w14:paraId="34114334">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（三）国有资产占用情况</w:t>
      </w:r>
    </w:p>
    <w:p w14:paraId="36D657CB">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p>
    <w:p w14:paraId="28B4D7CF">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第三部分</w:t>
      </w:r>
      <w:r>
        <w:rPr>
          <w:rFonts w:hint="eastAsia" w:ascii="黑体" w:hAnsi="Times New Roman" w:eastAsia="黑体"/>
          <w:b/>
          <w:bCs/>
          <w:sz w:val="32"/>
          <w:szCs w:val="32"/>
        </w:rPr>
        <w:t xml:space="preserve"> </w:t>
      </w:r>
      <w:r>
        <w:rPr>
          <w:rFonts w:hint="eastAsia" w:ascii="黑体" w:hAnsi="黑体" w:eastAsia="黑体"/>
          <w:b/>
          <w:bCs/>
          <w:sz w:val="32"/>
          <w:szCs w:val="32"/>
        </w:rPr>
        <w:t>名词解释</w:t>
      </w:r>
    </w:p>
    <w:p w14:paraId="318E4A7F">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第四部分</w:t>
      </w:r>
      <w:r>
        <w:rPr>
          <w:rFonts w:hint="eastAsia" w:ascii="黑体" w:hAnsi="Times New Roman" w:eastAsia="黑体"/>
          <w:b/>
          <w:bCs/>
          <w:sz w:val="32"/>
          <w:szCs w:val="32"/>
        </w:rPr>
        <w:t xml:space="preserve"> </w:t>
      </w:r>
      <w:r>
        <w:rPr>
          <w:rFonts w:hint="eastAsia" w:ascii="黑体" w:hAnsi="黑体" w:eastAsia="黑体"/>
          <w:b/>
          <w:bCs/>
          <w:sz w:val="32"/>
          <w:szCs w:val="32"/>
        </w:rPr>
        <w:t>决算公开联系方式及信息反馈渠道</w:t>
      </w:r>
    </w:p>
    <w:p w14:paraId="421BCC7B">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第五部分</w:t>
      </w:r>
      <w:r>
        <w:rPr>
          <w:rFonts w:hint="eastAsia" w:ascii="黑体" w:hAnsi="Times New Roman" w:eastAsia="黑体"/>
          <w:b/>
          <w:bCs/>
          <w:sz w:val="32"/>
          <w:szCs w:val="32"/>
        </w:rPr>
        <w:t xml:space="preserve"> </w:t>
      </w:r>
      <w:r>
        <w:rPr>
          <w:rFonts w:hint="eastAsia" w:ascii="黑体" w:hAnsi="黑体" w:eastAsia="黑体"/>
          <w:b/>
          <w:bCs/>
          <w:sz w:val="32"/>
          <w:szCs w:val="32"/>
        </w:rPr>
        <w:t>部门决算公开表</w:t>
      </w:r>
    </w:p>
    <w:p w14:paraId="7D456D1F">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一、收入支出决算总表</w:t>
      </w:r>
    </w:p>
    <w:p w14:paraId="16F8FCEB">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二、收入决算表</w:t>
      </w:r>
    </w:p>
    <w:p w14:paraId="0C404F53">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三、支出决算表</w:t>
      </w:r>
    </w:p>
    <w:p w14:paraId="72F05860">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四、财政拨款收入支出决算总表</w:t>
      </w:r>
    </w:p>
    <w:p w14:paraId="01E9F471">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五、一般公共预算财政拨款支出决算表</w:t>
      </w:r>
    </w:p>
    <w:p w14:paraId="30A3ECDB">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六、一般公共预算财政拨款基本支出决算明细表</w:t>
      </w:r>
    </w:p>
    <w:p w14:paraId="6ABA38D4">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七、政府性基金预算财政拨款收入支出决算表</w:t>
      </w:r>
    </w:p>
    <w:p w14:paraId="4212FAED">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sz w:val="32"/>
          <w:szCs w:val="32"/>
        </w:rPr>
        <w:t>八、机构运行信息表</w:t>
      </w:r>
    </w:p>
    <w:p w14:paraId="131C87CD">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r>
        <w:rPr>
          <w:rFonts w:ascii="Times New Roman" w:hAnsi="Times New Roman" w:eastAsia="仿宋_GB2312" w:cs="Times New Roman"/>
          <w:b/>
          <w:bCs/>
          <w:sz w:val="44"/>
          <w:szCs w:val="44"/>
        </w:rPr>
        <w:t xml:space="preserve"> </w:t>
      </w:r>
    </w:p>
    <w:p w14:paraId="30906858">
      <w:r>
        <w:rPr>
          <w:rFonts w:hint="eastAsia"/>
        </w:rPr>
        <w:t xml:space="preserve">  </w:t>
      </w:r>
    </w:p>
    <w:p w14:paraId="4232FA6F">
      <w:pPr>
        <w:autoSpaceDE w:val="0"/>
        <w:autoSpaceDN w:val="0"/>
        <w:adjustRightInd w:val="0"/>
        <w:spacing w:before="100" w:beforeAutospacing="1" w:after="100" w:afterAutospacing="1" w:line="580" w:lineRule="exact"/>
        <w:ind w:firstLine="600"/>
        <w:rPr>
          <w:rFonts w:ascii="仿宋_GB2312" w:hAnsi="Times New Roman" w:eastAsia="仿宋_GB2312"/>
          <w:b/>
          <w:bCs/>
          <w:sz w:val="32"/>
          <w:szCs w:val="32"/>
        </w:rPr>
      </w:pPr>
    </w:p>
    <w:p w14:paraId="3316759B">
      <w:pPr>
        <w:autoSpaceDE w:val="0"/>
        <w:autoSpaceDN w:val="0"/>
        <w:adjustRightInd w:val="0"/>
        <w:spacing w:before="100" w:beforeAutospacing="1" w:after="100" w:afterAutospacing="1" w:line="580" w:lineRule="exact"/>
        <w:ind w:firstLine="600"/>
        <w:rPr>
          <w:rFonts w:ascii="仿宋_GB2312" w:hAnsi="Times New Roman" w:eastAsia="仿宋_GB2312"/>
          <w:b/>
          <w:bCs/>
          <w:sz w:val="32"/>
          <w:szCs w:val="32"/>
        </w:rPr>
      </w:pPr>
    </w:p>
    <w:p w14:paraId="741A5E90">
      <w:pPr>
        <w:autoSpaceDE w:val="0"/>
        <w:autoSpaceDN w:val="0"/>
        <w:adjustRightInd w:val="0"/>
        <w:spacing w:before="100" w:beforeAutospacing="1" w:after="100" w:afterAutospacing="1" w:line="580" w:lineRule="exact"/>
        <w:ind w:firstLine="600"/>
        <w:rPr>
          <w:rFonts w:ascii="仿宋_GB2312" w:hAnsi="Times New Roman" w:eastAsia="仿宋_GB2312"/>
          <w:b/>
          <w:bCs/>
          <w:sz w:val="32"/>
          <w:szCs w:val="32"/>
        </w:rPr>
      </w:pPr>
    </w:p>
    <w:p w14:paraId="10DB853B">
      <w:pPr>
        <w:autoSpaceDE w:val="0"/>
        <w:autoSpaceDN w:val="0"/>
        <w:adjustRightInd w:val="0"/>
        <w:spacing w:before="100" w:beforeAutospacing="1" w:after="100" w:afterAutospacing="1" w:line="580" w:lineRule="exact"/>
        <w:ind w:firstLine="600"/>
        <w:rPr>
          <w:rFonts w:ascii="仿宋_GB2312" w:hAnsi="Times New Roman" w:eastAsia="仿宋_GB2312"/>
          <w:b/>
          <w:bCs/>
          <w:sz w:val="32"/>
          <w:szCs w:val="32"/>
        </w:rPr>
      </w:pPr>
    </w:p>
    <w:p w14:paraId="4C044E3F">
      <w:pPr>
        <w:autoSpaceDE w:val="0"/>
        <w:autoSpaceDN w:val="0"/>
        <w:adjustRightInd w:val="0"/>
        <w:spacing w:before="100" w:beforeAutospacing="1" w:after="100" w:afterAutospacing="1" w:line="580" w:lineRule="exact"/>
        <w:ind w:firstLine="600"/>
        <w:rPr>
          <w:rFonts w:ascii="仿宋_GB2312" w:hAnsi="Times New Roman" w:eastAsia="仿宋_GB2312"/>
          <w:b/>
          <w:bCs/>
          <w:sz w:val="32"/>
          <w:szCs w:val="32"/>
        </w:rPr>
      </w:pPr>
    </w:p>
    <w:p w14:paraId="3CA2E205">
      <w:pPr>
        <w:autoSpaceDE w:val="0"/>
        <w:autoSpaceDN w:val="0"/>
        <w:adjustRightInd w:val="0"/>
        <w:spacing w:before="100" w:beforeAutospacing="1" w:after="100" w:afterAutospacing="1" w:line="580" w:lineRule="exact"/>
        <w:ind w:firstLine="600"/>
        <w:rPr>
          <w:rFonts w:ascii="仿宋_GB2312" w:hAnsi="Times New Roman" w:eastAsia="仿宋_GB2312"/>
          <w:b/>
          <w:bCs/>
          <w:sz w:val="32"/>
          <w:szCs w:val="32"/>
        </w:rPr>
      </w:pPr>
    </w:p>
    <w:p w14:paraId="215C8090">
      <w:pPr>
        <w:autoSpaceDE w:val="0"/>
        <w:autoSpaceDN w:val="0"/>
        <w:adjustRightInd w:val="0"/>
        <w:spacing w:before="100" w:beforeAutospacing="1" w:after="100" w:afterAutospacing="1" w:line="580" w:lineRule="exact"/>
        <w:ind w:firstLine="600"/>
        <w:rPr>
          <w:rFonts w:ascii="仿宋_GB2312" w:hAnsi="Times New Roman" w:eastAsia="仿宋_GB2312"/>
          <w:b/>
          <w:bCs/>
          <w:sz w:val="32"/>
          <w:szCs w:val="32"/>
        </w:rPr>
      </w:pPr>
    </w:p>
    <w:p w14:paraId="5E97252D">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sz w:val="32"/>
          <w:szCs w:val="32"/>
        </w:rPr>
      </w:pPr>
      <w:r>
        <w:rPr>
          <w:rFonts w:hint="eastAsia" w:ascii="仿宋_GB2312" w:hAnsi="Times New Roman" w:eastAsia="仿宋_GB2312"/>
          <w:b/>
          <w:bCs/>
          <w:sz w:val="32"/>
          <w:szCs w:val="32"/>
        </w:rPr>
        <w:t>第一部分 部门基本情况</w:t>
      </w:r>
    </w:p>
    <w:p w14:paraId="3A435664">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一、部门职责</w:t>
      </w:r>
    </w:p>
    <w:p w14:paraId="350E10B7">
      <w:pPr>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Calibri" w:eastAsia="仿宋_GB2312"/>
          <w:kern w:val="2"/>
          <w:sz w:val="32"/>
          <w:szCs w:val="32"/>
        </w:rPr>
        <w:t>（一）呼伦贝尔市气象局承担全市气象工作的政府行政管理职能，负责全市气象工作的组织管理，在内蒙古自治区气象局和呼伦贝尔市政府的领导下，负责呼伦贝尔市行政区域内的气象工作，是经济建设、国防建设、社会发展和人民生活的基础性公益事业。</w:t>
      </w:r>
    </w:p>
    <w:p w14:paraId="0415800F">
      <w:pPr>
        <w:widowControl w:val="0"/>
        <w:ind w:firstLine="480" w:firstLineChars="150"/>
        <w:jc w:val="both"/>
        <w:rPr>
          <w:rFonts w:ascii="仿宋_GB2312" w:hAnsi="Calibri" w:eastAsia="仿宋_GB2312" w:cs="Times New Roman"/>
          <w:kern w:val="2"/>
          <w:sz w:val="32"/>
          <w:szCs w:val="32"/>
        </w:rPr>
      </w:pPr>
      <w:r>
        <w:rPr>
          <w:rFonts w:hint="eastAsia" w:ascii="仿宋_GB2312" w:hAnsi="Calibri" w:eastAsia="仿宋_GB2312" w:cs="Times New Roman"/>
          <w:kern w:val="2"/>
          <w:sz w:val="32"/>
          <w:szCs w:val="32"/>
        </w:rPr>
        <w:t>（二）负责本行政区域内气象事业发展规划、计划的制定及气象业务建设的组织实施；负责本行政区域内气象设施建设项目的审查；对本行政区域内的气象活动进行指导、监督和行业管理。</w:t>
      </w:r>
    </w:p>
    <w:p w14:paraId="7F887459">
      <w:pPr>
        <w:widowControl w:val="0"/>
        <w:jc w:val="both"/>
        <w:rPr>
          <w:rFonts w:hint="eastAsia" w:ascii="仿宋_GB2312" w:hAnsi="Calibri" w:eastAsia="仿宋_GB2312" w:cs="Times New Roman"/>
          <w:kern w:val="2"/>
          <w:sz w:val="32"/>
          <w:szCs w:val="32"/>
        </w:rPr>
      </w:pPr>
      <w:r>
        <w:rPr>
          <w:rFonts w:hint="eastAsia" w:ascii="仿宋_GB2312" w:hAnsi="Calibri" w:eastAsia="仿宋_GB2312" w:cs="Times New Roman"/>
          <w:kern w:val="2"/>
          <w:sz w:val="32"/>
          <w:szCs w:val="32"/>
        </w:rPr>
        <w:t xml:space="preserve">    （三）组织管理本行政区域内气象探测资料的汇总、传输；依法保护气象探测环境。</w:t>
      </w:r>
    </w:p>
    <w:p w14:paraId="600F3EC7">
      <w:pPr>
        <w:widowControl w:val="0"/>
        <w:ind w:firstLine="645"/>
        <w:jc w:val="both"/>
        <w:rPr>
          <w:rFonts w:hint="eastAsia" w:ascii="仿宋_GB2312" w:hAnsi="Calibri" w:eastAsia="仿宋_GB2312" w:cs="Times New Roman"/>
          <w:kern w:val="2"/>
          <w:sz w:val="32"/>
          <w:szCs w:val="32"/>
        </w:rPr>
      </w:pPr>
      <w:r>
        <w:rPr>
          <w:rFonts w:hint="eastAsia" w:ascii="仿宋_GB2312" w:hAnsi="Calibri" w:eastAsia="仿宋_GB2312" w:cs="Times New Roman"/>
          <w:kern w:val="2"/>
          <w:sz w:val="32"/>
          <w:szCs w:val="32"/>
        </w:rPr>
        <w:t>（四）负责本行政区域内的气象监测、预报管理工作，及时提出气象灾害防御措施，并对重大气象灾害做出评估，为本级人民政府组织防御气象灾害提供决策依据；管理本行政区域内公众气象预报、灾害性天气警报以及农业气象预报、城市环境气象预报、火险气象等级预报等专业气象预报的发布。</w:t>
      </w:r>
    </w:p>
    <w:p w14:paraId="34BB24F0">
      <w:pPr>
        <w:widowControl w:val="0"/>
        <w:ind w:firstLine="640" w:firstLineChars="200"/>
        <w:jc w:val="both"/>
        <w:rPr>
          <w:rFonts w:hint="eastAsia" w:ascii="仿宋_GB2312" w:hAnsi="Calibri" w:eastAsia="仿宋_GB2312" w:cs="Times New Roman"/>
          <w:color w:val="000000"/>
          <w:kern w:val="2"/>
          <w:sz w:val="32"/>
          <w:szCs w:val="32"/>
        </w:rPr>
      </w:pPr>
      <w:r>
        <w:rPr>
          <w:rFonts w:hint="eastAsia" w:ascii="仿宋_GB2312" w:hAnsi="Calibri" w:eastAsia="仿宋_GB2312" w:cs="Times New Roman"/>
          <w:color w:val="000000"/>
          <w:kern w:val="2"/>
          <w:sz w:val="32"/>
          <w:szCs w:val="32"/>
        </w:rPr>
        <w:t>（五）组织制订和实施本行政区域气象灾害防御规划；组织本行政区域内气象灾害防御应急管理工作；负责本行政区域内突发公共事件气象保障工作。</w:t>
      </w:r>
    </w:p>
    <w:p w14:paraId="03818132">
      <w:pPr>
        <w:widowControl w:val="0"/>
        <w:jc w:val="both"/>
        <w:rPr>
          <w:rFonts w:hint="eastAsia" w:ascii="仿宋_GB2312" w:hAnsi="Calibri" w:eastAsia="仿宋_GB2312" w:cs="Times New Roman"/>
          <w:color w:val="000000"/>
          <w:kern w:val="2"/>
          <w:sz w:val="32"/>
          <w:szCs w:val="32"/>
        </w:rPr>
      </w:pPr>
      <w:r>
        <w:rPr>
          <w:rFonts w:hint="eastAsia" w:ascii="仿宋_GB2312" w:hAnsi="Calibri" w:eastAsia="仿宋_GB2312" w:cs="Times New Roman"/>
          <w:color w:val="000000"/>
          <w:kern w:val="2"/>
          <w:sz w:val="32"/>
          <w:szCs w:val="32"/>
        </w:rPr>
        <w:t xml:space="preserve">    （六）管理本行政区域人工影响天气工作，指导和组织人工影响天气作业；组织管理雷电灾害防御工作，会同有关部门指导对可能遭受袭击的建筑物、构筑物和其它设施安装的雷电灾害防护装置的检测工作。</w:t>
      </w:r>
    </w:p>
    <w:p w14:paraId="1D7D2116">
      <w:pPr>
        <w:widowControl w:val="0"/>
        <w:ind w:firstLine="640" w:firstLineChars="200"/>
        <w:jc w:val="both"/>
        <w:rPr>
          <w:rFonts w:hint="eastAsia" w:ascii="仿宋_GB2312" w:hAnsi="Calibri" w:eastAsia="仿宋_GB2312" w:cs="Times New Roman"/>
          <w:color w:val="000000"/>
          <w:kern w:val="2"/>
          <w:sz w:val="32"/>
          <w:szCs w:val="32"/>
        </w:rPr>
      </w:pPr>
      <w:r>
        <w:rPr>
          <w:rFonts w:hint="eastAsia" w:ascii="仿宋_GB2312" w:hAnsi="Calibri" w:eastAsia="仿宋_GB2312" w:cs="Times New Roman"/>
          <w:color w:val="000000"/>
          <w:kern w:val="2"/>
          <w:sz w:val="32"/>
          <w:szCs w:val="32"/>
        </w:rPr>
        <w:t>（七）负责向本级人民政府和同级有关部门提出利用、保护气候资源和推广应用气候资源区划等成果的建议；组织对气候资源开发利用项目进行气候可行性论证。参与本级人民政府应对气候变化工作，组织开展气候变化影响评估、技术开发和决策咨询服务。</w:t>
      </w:r>
    </w:p>
    <w:p w14:paraId="3F65650A">
      <w:pPr>
        <w:widowControl w:val="0"/>
        <w:jc w:val="both"/>
        <w:rPr>
          <w:rFonts w:hint="eastAsia" w:ascii="仿宋_GB2312" w:hAnsi="Calibri" w:eastAsia="仿宋_GB2312" w:cs="Times New Roman"/>
          <w:kern w:val="2"/>
          <w:sz w:val="32"/>
          <w:szCs w:val="32"/>
        </w:rPr>
      </w:pPr>
      <w:r>
        <w:rPr>
          <w:rFonts w:hint="eastAsia" w:ascii="仿宋_GB2312" w:hAnsi="Calibri" w:eastAsia="仿宋_GB2312" w:cs="Times New Roman"/>
          <w:kern w:val="2"/>
          <w:sz w:val="32"/>
          <w:szCs w:val="32"/>
        </w:rPr>
        <w:t xml:space="preserve">    （八）组织开展气象法制宣传教育，负责监督有关气象法规的实施，对违反《中华人民共和国气象法》有关规定的行为依法进行处罚，承担有关行政复议和行政诉讼。</w:t>
      </w:r>
    </w:p>
    <w:p w14:paraId="4CF405C2">
      <w:pPr>
        <w:widowControl w:val="0"/>
        <w:jc w:val="both"/>
        <w:rPr>
          <w:rFonts w:hint="eastAsia" w:ascii="仿宋_GB2312" w:hAnsi="Calibri" w:eastAsia="仿宋_GB2312" w:cs="Times New Roman"/>
          <w:kern w:val="2"/>
          <w:sz w:val="32"/>
          <w:szCs w:val="32"/>
        </w:rPr>
      </w:pPr>
      <w:r>
        <w:rPr>
          <w:rFonts w:hint="eastAsia" w:ascii="仿宋_GB2312" w:hAnsi="Calibri" w:eastAsia="仿宋_GB2312" w:cs="Times New Roman"/>
          <w:kern w:val="2"/>
          <w:sz w:val="32"/>
          <w:szCs w:val="32"/>
        </w:rPr>
        <w:t xml:space="preserve">    （九）统一领导和管理本行政区域内气象部门的计划财务、人事劳动、科研和培训以及业务建设等工作；会同县（市）人民政府对县（市）气象机构实施以部门为主的双重管理；协助地方党委和人民政府做好当地气象部门的精神文明建设和思想政治工作。</w:t>
      </w:r>
    </w:p>
    <w:p w14:paraId="663E6584">
      <w:pPr>
        <w:widowControl w:val="0"/>
        <w:jc w:val="both"/>
        <w:rPr>
          <w:rFonts w:hint="eastAsia" w:ascii="仿宋_GB2312" w:hAnsi="Calibri" w:eastAsia="仿宋_GB2312" w:cs="Times New Roman"/>
          <w:kern w:val="2"/>
          <w:sz w:val="32"/>
          <w:szCs w:val="32"/>
        </w:rPr>
      </w:pPr>
      <w:r>
        <w:rPr>
          <w:rFonts w:hint="eastAsia" w:ascii="仿宋_GB2312" w:hAnsi="Calibri" w:eastAsia="仿宋_GB2312" w:cs="Times New Roman"/>
          <w:kern w:val="2"/>
          <w:sz w:val="32"/>
          <w:szCs w:val="32"/>
        </w:rPr>
        <w:t xml:space="preserve">   （十）承担上级气象主管机构和本级人民政府交办的其它事项。</w:t>
      </w:r>
    </w:p>
    <w:p w14:paraId="0CD2AC03">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sz w:val="32"/>
          <w:szCs w:val="32"/>
        </w:rPr>
      </w:pPr>
      <w:r>
        <w:rPr>
          <w:rFonts w:hint="eastAsia" w:ascii="仿宋_GB2312" w:hAnsi="Times New Roman" w:eastAsia="仿宋_GB2312"/>
          <w:sz w:val="32"/>
          <w:szCs w:val="32"/>
        </w:rPr>
        <w:t>二、机构设置</w:t>
      </w:r>
    </w:p>
    <w:p w14:paraId="13BF77DE">
      <w:pPr>
        <w:widowControl w:val="0"/>
        <w:spacing w:line="560" w:lineRule="exact"/>
        <w:ind w:firstLine="627" w:firstLineChars="196"/>
        <w:jc w:val="both"/>
        <w:rPr>
          <w:rFonts w:ascii="仿宋_GB2312" w:eastAsia="仿宋_GB2312" w:cs="Times New Roman"/>
          <w:kern w:val="2"/>
          <w:sz w:val="32"/>
          <w:szCs w:val="32"/>
        </w:rPr>
      </w:pPr>
      <w:r>
        <w:rPr>
          <w:rFonts w:hint="eastAsia" w:ascii="仿宋_GB2312" w:eastAsia="仿宋_GB2312" w:cs="Times New Roman"/>
          <w:kern w:val="2"/>
          <w:sz w:val="32"/>
          <w:szCs w:val="32"/>
        </w:rPr>
        <w:t>201</w:t>
      </w:r>
      <w:r>
        <w:rPr>
          <w:rFonts w:ascii="仿宋_GB2312" w:eastAsia="仿宋_GB2312" w:cs="Times New Roman"/>
          <w:kern w:val="2"/>
          <w:sz w:val="32"/>
          <w:szCs w:val="32"/>
        </w:rPr>
        <w:t>9</w:t>
      </w:r>
      <w:r>
        <w:rPr>
          <w:rFonts w:hint="eastAsia" w:ascii="仿宋_GB2312" w:eastAsia="仿宋_GB2312" w:cs="Times New Roman"/>
          <w:kern w:val="2"/>
          <w:sz w:val="32"/>
          <w:szCs w:val="32"/>
        </w:rPr>
        <w:t>年呼伦贝尔市气象局预算编制单位2个, 分别是呼伦贝尔市气象局机关和呼伦贝尔市气象灾害监测预警中心。</w:t>
      </w:r>
    </w:p>
    <w:p w14:paraId="22C64898">
      <w:pPr>
        <w:snapToGrid w:val="0"/>
        <w:spacing w:line="560" w:lineRule="exact"/>
        <w:ind w:firstLine="640" w:firstLineChars="200"/>
        <w:rPr>
          <w:rFonts w:hint="eastAsia" w:ascii="仿宋_GB2312" w:eastAsia="仿宋_GB2312"/>
          <w:kern w:val="2"/>
          <w:sz w:val="32"/>
          <w:szCs w:val="32"/>
        </w:rPr>
      </w:pPr>
      <w:r>
        <w:rPr>
          <w:rFonts w:hint="eastAsia" w:ascii="仿宋_GB2312" w:eastAsia="仿宋_GB2312"/>
          <w:kern w:val="2"/>
          <w:sz w:val="32"/>
          <w:szCs w:val="32"/>
        </w:rPr>
        <w:t>呼伦贝尔市气象局机关编制112人，现有职工108人，离退休职工87人。</w:t>
      </w:r>
    </w:p>
    <w:p w14:paraId="0FECEBD4">
      <w:pPr>
        <w:snapToGrid w:val="0"/>
        <w:spacing w:line="560" w:lineRule="exact"/>
        <w:ind w:firstLine="640" w:firstLineChars="200"/>
        <w:rPr>
          <w:rFonts w:hint="eastAsia" w:ascii="仿宋_GB2312" w:eastAsia="仿宋_GB2312" w:cs="Times New Roman"/>
          <w:kern w:val="2"/>
          <w:sz w:val="32"/>
          <w:szCs w:val="32"/>
        </w:rPr>
      </w:pPr>
      <w:r>
        <w:rPr>
          <w:rFonts w:hint="eastAsia" w:ascii="仿宋_GB2312" w:eastAsia="仿宋_GB2312" w:cs="Times New Roman"/>
          <w:kern w:val="2"/>
          <w:sz w:val="32"/>
          <w:szCs w:val="32"/>
        </w:rPr>
        <w:t>呼伦贝尔市气象灾害监测预警中心核定编制5人，目前实有人数2人。</w:t>
      </w:r>
    </w:p>
    <w:p w14:paraId="54A2040A">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b/>
          <w:bCs/>
          <w:sz w:val="32"/>
          <w:szCs w:val="32"/>
        </w:rPr>
      </w:pPr>
      <w:r>
        <w:rPr>
          <w:rFonts w:hint="eastAsia" w:ascii="仿宋_GB2312" w:hAnsi="Times New Roman" w:eastAsia="仿宋_GB2312"/>
          <w:b/>
          <w:bCs/>
          <w:sz w:val="32"/>
          <w:szCs w:val="32"/>
        </w:rPr>
        <w:t>第二部分 2019年度部门决算情况说明</w:t>
      </w:r>
    </w:p>
    <w:p w14:paraId="2702167B">
      <w:pPr>
        <w:autoSpaceDE w:val="0"/>
        <w:autoSpaceDN w:val="0"/>
        <w:adjustRightInd w:val="0"/>
        <w:spacing w:before="100" w:beforeAutospacing="1" w:after="100" w:afterAutospacing="1" w:line="580" w:lineRule="exact"/>
        <w:ind w:firstLine="600"/>
        <w:rPr>
          <w:rFonts w:ascii="仿宋_GB2312" w:hAnsi="Times New Roman" w:eastAsia="仿宋_GB2312"/>
          <w:sz w:val="32"/>
          <w:szCs w:val="32"/>
        </w:rPr>
      </w:pPr>
      <w:r>
        <w:rPr>
          <w:rFonts w:hint="eastAsia" w:ascii="仿宋_GB2312" w:hAnsi="Times New Roman" w:eastAsia="仿宋_GB2312"/>
          <w:sz w:val="32"/>
          <w:szCs w:val="32"/>
        </w:rPr>
        <w:t>一、关于2019年度预算执行情况分析</w:t>
      </w:r>
    </w:p>
    <w:p w14:paraId="441EACB8">
      <w:pPr>
        <w:ind w:firstLine="480" w:firstLineChars="150"/>
        <w:rPr>
          <w:rFonts w:hint="eastAsia" w:ascii="仿宋_GB2312" w:eastAsia="仿宋_GB2312"/>
          <w:sz w:val="32"/>
          <w:szCs w:val="32"/>
          <w:lang w:eastAsia="zh-CN"/>
        </w:rPr>
      </w:pPr>
      <w:r>
        <w:rPr>
          <w:rFonts w:hint="eastAsia" w:ascii="仿宋_GB2312" w:eastAsia="仿宋_GB2312"/>
          <w:sz w:val="32"/>
          <w:szCs w:val="32"/>
        </w:rPr>
        <w:t>2019年呼伦贝尔市气象局预算收入为</w:t>
      </w:r>
      <w:r>
        <w:rPr>
          <w:rFonts w:ascii="仿宋_GB2312" w:eastAsia="仿宋_GB2312"/>
          <w:sz w:val="32"/>
          <w:szCs w:val="32"/>
        </w:rPr>
        <w:t>1097.57</w:t>
      </w:r>
      <w:r>
        <w:rPr>
          <w:rFonts w:hint="eastAsia" w:ascii="仿宋_GB2312" w:eastAsia="仿宋_GB2312"/>
          <w:sz w:val="32"/>
          <w:szCs w:val="32"/>
        </w:rPr>
        <w:t>万元，其中：公共财政拨款预算</w:t>
      </w:r>
      <w:r>
        <w:rPr>
          <w:rFonts w:ascii="仿宋_GB2312" w:eastAsia="仿宋_GB2312"/>
          <w:sz w:val="32"/>
          <w:szCs w:val="32"/>
        </w:rPr>
        <w:t>1097.57</w:t>
      </w:r>
      <w:r>
        <w:rPr>
          <w:rFonts w:hint="eastAsia" w:ascii="仿宋_GB2312" w:eastAsia="仿宋_GB2312"/>
          <w:sz w:val="32"/>
          <w:szCs w:val="32"/>
        </w:rPr>
        <w:t>万元。呼伦贝尔市气象局机关预算收入为10</w:t>
      </w:r>
      <w:r>
        <w:rPr>
          <w:rFonts w:ascii="仿宋_GB2312" w:eastAsia="仿宋_GB2312"/>
          <w:sz w:val="32"/>
          <w:szCs w:val="32"/>
        </w:rPr>
        <w:t>69.54</w:t>
      </w:r>
      <w:r>
        <w:rPr>
          <w:rFonts w:hint="eastAsia" w:ascii="仿宋_GB2312" w:eastAsia="仿宋_GB2312"/>
          <w:sz w:val="32"/>
          <w:szCs w:val="32"/>
        </w:rPr>
        <w:t>万元，其中：公共财政拨款预算10</w:t>
      </w:r>
      <w:r>
        <w:rPr>
          <w:rFonts w:ascii="仿宋_GB2312" w:eastAsia="仿宋_GB2312"/>
          <w:sz w:val="32"/>
          <w:szCs w:val="32"/>
        </w:rPr>
        <w:t>69.54</w:t>
      </w:r>
      <w:r>
        <w:rPr>
          <w:rFonts w:hint="eastAsia" w:ascii="仿宋_GB2312" w:eastAsia="仿宋_GB2312"/>
          <w:sz w:val="32"/>
          <w:szCs w:val="32"/>
        </w:rPr>
        <w:t>万元；呼伦贝尔市气象灾害监测预警中心预算收入为</w:t>
      </w:r>
      <w:r>
        <w:rPr>
          <w:rFonts w:ascii="仿宋_GB2312" w:eastAsia="仿宋_GB2312"/>
          <w:sz w:val="32"/>
          <w:szCs w:val="32"/>
        </w:rPr>
        <w:t>28.03</w:t>
      </w:r>
      <w:r>
        <w:rPr>
          <w:rFonts w:hint="eastAsia" w:ascii="仿宋_GB2312" w:eastAsia="仿宋_GB2312"/>
          <w:sz w:val="32"/>
          <w:szCs w:val="32"/>
        </w:rPr>
        <w:t>万元，其中：公共财政拨款预算</w:t>
      </w:r>
      <w:r>
        <w:rPr>
          <w:rFonts w:ascii="仿宋_GB2312" w:eastAsia="仿宋_GB2312"/>
          <w:sz w:val="32"/>
          <w:szCs w:val="32"/>
        </w:rPr>
        <w:t>28.03</w:t>
      </w:r>
      <w:r>
        <w:rPr>
          <w:rFonts w:hint="eastAsia" w:ascii="仿宋_GB2312" w:eastAsia="仿宋_GB2312"/>
          <w:sz w:val="32"/>
          <w:szCs w:val="32"/>
        </w:rPr>
        <w:t>万元</w:t>
      </w:r>
      <w:r>
        <w:rPr>
          <w:rFonts w:hint="eastAsia" w:ascii="仿宋_GB2312" w:eastAsia="仿宋_GB2312"/>
          <w:sz w:val="32"/>
          <w:szCs w:val="32"/>
          <w:lang w:eastAsia="zh-CN"/>
        </w:rPr>
        <w:t>。</w:t>
      </w:r>
    </w:p>
    <w:p w14:paraId="3B5D12B5">
      <w:pPr>
        <w:ind w:firstLine="480" w:firstLineChars="150"/>
        <w:rPr>
          <w:rFonts w:ascii="仿宋_GB2312" w:eastAsia="仿宋_GB2312" w:cs="Times New Roman"/>
          <w:kern w:val="2"/>
          <w:sz w:val="32"/>
          <w:szCs w:val="32"/>
        </w:rPr>
      </w:pPr>
      <w:r>
        <w:rPr>
          <w:rFonts w:hint="eastAsia" w:ascii="仿宋_GB2312" w:eastAsia="仿宋_GB2312" w:cs="Times New Roman"/>
          <w:kern w:val="2"/>
          <w:sz w:val="32"/>
          <w:szCs w:val="32"/>
        </w:rPr>
        <w:t>2019年收入决算数为1415.42万元。增加</w:t>
      </w:r>
      <w:r>
        <w:rPr>
          <w:rFonts w:ascii="仿宋_GB2312" w:eastAsia="仿宋_GB2312" w:cs="Times New Roman"/>
          <w:kern w:val="2"/>
          <w:sz w:val="32"/>
          <w:szCs w:val="32"/>
        </w:rPr>
        <w:t>原因主要为</w:t>
      </w:r>
      <w:r>
        <w:rPr>
          <w:rFonts w:hint="eastAsia" w:ascii="仿宋_GB2312" w:eastAsia="仿宋_GB2312" w:cs="Times New Roman"/>
          <w:kern w:val="2"/>
          <w:sz w:val="32"/>
          <w:szCs w:val="32"/>
        </w:rPr>
        <w:t>：人工影响天气</w:t>
      </w:r>
      <w:r>
        <w:rPr>
          <w:rFonts w:ascii="仿宋_GB2312" w:eastAsia="仿宋_GB2312" w:cs="Times New Roman"/>
          <w:kern w:val="2"/>
          <w:sz w:val="32"/>
          <w:szCs w:val="32"/>
        </w:rPr>
        <w:t>补助经费增加</w:t>
      </w:r>
      <w:r>
        <w:rPr>
          <w:rFonts w:hint="eastAsia" w:ascii="仿宋_GB2312" w:eastAsia="仿宋_GB2312" w:cs="Times New Roman"/>
          <w:kern w:val="2"/>
          <w:sz w:val="32"/>
          <w:szCs w:val="32"/>
        </w:rPr>
        <w:t>208.19万元</w:t>
      </w:r>
      <w:r>
        <w:rPr>
          <w:rFonts w:ascii="仿宋_GB2312" w:eastAsia="仿宋_GB2312" w:cs="Times New Roman"/>
          <w:kern w:val="2"/>
          <w:sz w:val="32"/>
          <w:szCs w:val="32"/>
        </w:rPr>
        <w:t>，科研经费增加</w:t>
      </w:r>
      <w:r>
        <w:rPr>
          <w:rFonts w:hint="eastAsia" w:ascii="仿宋_GB2312" w:eastAsia="仿宋_GB2312" w:cs="Times New Roman"/>
          <w:kern w:val="2"/>
          <w:sz w:val="32"/>
          <w:szCs w:val="32"/>
        </w:rPr>
        <w:t>10万元</w:t>
      </w:r>
      <w:r>
        <w:rPr>
          <w:rFonts w:ascii="仿宋_GB2312" w:eastAsia="仿宋_GB2312" w:cs="Times New Roman"/>
          <w:kern w:val="2"/>
          <w:sz w:val="32"/>
          <w:szCs w:val="32"/>
        </w:rPr>
        <w:t>，天气</w:t>
      </w:r>
      <w:r>
        <w:rPr>
          <w:rFonts w:hint="eastAsia" w:ascii="仿宋_GB2312" w:eastAsia="仿宋_GB2312" w:cs="Times New Roman"/>
          <w:kern w:val="2"/>
          <w:sz w:val="32"/>
          <w:szCs w:val="32"/>
        </w:rPr>
        <w:t>预报广告费100万元</w:t>
      </w:r>
      <w:r>
        <w:rPr>
          <w:rFonts w:ascii="仿宋_GB2312" w:eastAsia="仿宋_GB2312" w:cs="Times New Roman"/>
          <w:kern w:val="2"/>
          <w:sz w:val="32"/>
          <w:szCs w:val="32"/>
        </w:rPr>
        <w:t>。</w:t>
      </w:r>
    </w:p>
    <w:p w14:paraId="14EB491A">
      <w:pPr>
        <w:ind w:firstLine="480" w:firstLineChars="150"/>
        <w:rPr>
          <w:rFonts w:hint="eastAsia" w:ascii="仿宋_GB2312" w:eastAsia="仿宋_GB2312"/>
          <w:sz w:val="32"/>
          <w:szCs w:val="32"/>
          <w:lang w:eastAsia="zh-CN"/>
        </w:rPr>
      </w:pPr>
      <w:r>
        <w:rPr>
          <w:rFonts w:hint="eastAsia" w:ascii="仿宋_GB2312" w:eastAsia="仿宋_GB2312"/>
          <w:sz w:val="32"/>
          <w:szCs w:val="32"/>
        </w:rPr>
        <w:t>2019年呼伦贝尔市气象局预算</w:t>
      </w:r>
      <w:r>
        <w:rPr>
          <w:rFonts w:hint="eastAsia" w:ascii="仿宋_GB2312" w:eastAsia="仿宋_GB2312"/>
          <w:sz w:val="32"/>
          <w:szCs w:val="32"/>
          <w:lang w:eastAsia="zh-CN"/>
        </w:rPr>
        <w:t>支出</w:t>
      </w:r>
      <w:r>
        <w:rPr>
          <w:rFonts w:hint="eastAsia" w:ascii="仿宋_GB2312" w:eastAsia="仿宋_GB2312"/>
          <w:sz w:val="32"/>
          <w:szCs w:val="32"/>
        </w:rPr>
        <w:t>为</w:t>
      </w:r>
      <w:r>
        <w:rPr>
          <w:rFonts w:ascii="仿宋_GB2312" w:eastAsia="仿宋_GB2312"/>
          <w:sz w:val="32"/>
          <w:szCs w:val="32"/>
        </w:rPr>
        <w:t>1097.57</w:t>
      </w:r>
      <w:r>
        <w:rPr>
          <w:rFonts w:hint="eastAsia" w:ascii="仿宋_GB2312" w:eastAsia="仿宋_GB2312"/>
          <w:sz w:val="32"/>
          <w:szCs w:val="32"/>
        </w:rPr>
        <w:t>万元，其中：公共财政拨款预算</w:t>
      </w:r>
      <w:r>
        <w:rPr>
          <w:rFonts w:ascii="仿宋_GB2312" w:eastAsia="仿宋_GB2312"/>
          <w:sz w:val="32"/>
          <w:szCs w:val="32"/>
        </w:rPr>
        <w:t>1097.57</w:t>
      </w:r>
      <w:r>
        <w:rPr>
          <w:rFonts w:hint="eastAsia" w:ascii="仿宋_GB2312" w:eastAsia="仿宋_GB2312"/>
          <w:sz w:val="32"/>
          <w:szCs w:val="32"/>
        </w:rPr>
        <w:t>万元。呼伦贝尔市气象局机关预算</w:t>
      </w:r>
      <w:r>
        <w:rPr>
          <w:rFonts w:hint="eastAsia" w:ascii="仿宋_GB2312" w:eastAsia="仿宋_GB2312"/>
          <w:sz w:val="32"/>
          <w:szCs w:val="32"/>
          <w:lang w:eastAsia="zh-CN"/>
        </w:rPr>
        <w:t>支出</w:t>
      </w:r>
      <w:r>
        <w:rPr>
          <w:rFonts w:hint="eastAsia" w:ascii="仿宋_GB2312" w:eastAsia="仿宋_GB2312"/>
          <w:sz w:val="32"/>
          <w:szCs w:val="32"/>
        </w:rPr>
        <w:t>为10</w:t>
      </w:r>
      <w:r>
        <w:rPr>
          <w:rFonts w:ascii="仿宋_GB2312" w:eastAsia="仿宋_GB2312"/>
          <w:sz w:val="32"/>
          <w:szCs w:val="32"/>
        </w:rPr>
        <w:t>69.54</w:t>
      </w:r>
      <w:r>
        <w:rPr>
          <w:rFonts w:hint="eastAsia" w:ascii="仿宋_GB2312" w:eastAsia="仿宋_GB2312"/>
          <w:sz w:val="32"/>
          <w:szCs w:val="32"/>
        </w:rPr>
        <w:t>万元，其中：公共财政拨款预算10</w:t>
      </w:r>
      <w:r>
        <w:rPr>
          <w:rFonts w:ascii="仿宋_GB2312" w:eastAsia="仿宋_GB2312"/>
          <w:sz w:val="32"/>
          <w:szCs w:val="32"/>
        </w:rPr>
        <w:t>69.54</w:t>
      </w:r>
      <w:r>
        <w:rPr>
          <w:rFonts w:hint="eastAsia" w:ascii="仿宋_GB2312" w:eastAsia="仿宋_GB2312"/>
          <w:sz w:val="32"/>
          <w:szCs w:val="32"/>
        </w:rPr>
        <w:t>万元；呼伦贝尔市气象灾害监测预警中心预算</w:t>
      </w:r>
      <w:r>
        <w:rPr>
          <w:rFonts w:hint="eastAsia" w:ascii="仿宋_GB2312" w:eastAsia="仿宋_GB2312"/>
          <w:sz w:val="32"/>
          <w:szCs w:val="32"/>
          <w:lang w:eastAsia="zh-CN"/>
        </w:rPr>
        <w:t>支出</w:t>
      </w:r>
      <w:r>
        <w:rPr>
          <w:rFonts w:hint="eastAsia" w:ascii="仿宋_GB2312" w:eastAsia="仿宋_GB2312"/>
          <w:sz w:val="32"/>
          <w:szCs w:val="32"/>
        </w:rPr>
        <w:t>为</w:t>
      </w:r>
      <w:r>
        <w:rPr>
          <w:rFonts w:ascii="仿宋_GB2312" w:eastAsia="仿宋_GB2312"/>
          <w:sz w:val="32"/>
          <w:szCs w:val="32"/>
        </w:rPr>
        <w:t>28.03</w:t>
      </w:r>
      <w:r>
        <w:rPr>
          <w:rFonts w:hint="eastAsia" w:ascii="仿宋_GB2312" w:eastAsia="仿宋_GB2312"/>
          <w:sz w:val="32"/>
          <w:szCs w:val="32"/>
        </w:rPr>
        <w:t>万元，其中：公共财政拨款预算</w:t>
      </w:r>
      <w:r>
        <w:rPr>
          <w:rFonts w:ascii="仿宋_GB2312" w:eastAsia="仿宋_GB2312"/>
          <w:sz w:val="32"/>
          <w:szCs w:val="32"/>
        </w:rPr>
        <w:t>28.03</w:t>
      </w:r>
      <w:r>
        <w:rPr>
          <w:rFonts w:hint="eastAsia" w:ascii="仿宋_GB2312" w:eastAsia="仿宋_GB2312"/>
          <w:sz w:val="32"/>
          <w:szCs w:val="32"/>
        </w:rPr>
        <w:t>万元</w:t>
      </w:r>
      <w:r>
        <w:rPr>
          <w:rFonts w:hint="eastAsia" w:ascii="仿宋_GB2312" w:eastAsia="仿宋_GB2312"/>
          <w:sz w:val="32"/>
          <w:szCs w:val="32"/>
          <w:lang w:eastAsia="zh-CN"/>
        </w:rPr>
        <w:t>。</w:t>
      </w:r>
    </w:p>
    <w:p w14:paraId="78757055">
      <w:pPr>
        <w:ind w:firstLine="480" w:firstLineChars="150"/>
        <w:rPr>
          <w:rFonts w:hint="default" w:ascii="仿宋_GB2312" w:eastAsia="仿宋_GB2312" w:cs="Times New Roman"/>
          <w:kern w:val="2"/>
          <w:sz w:val="32"/>
          <w:szCs w:val="32"/>
          <w:lang w:val="en-US" w:eastAsia="zh-CN"/>
        </w:rPr>
      </w:pPr>
      <w:r>
        <w:rPr>
          <w:rFonts w:hint="eastAsia" w:ascii="仿宋_GB2312" w:eastAsia="仿宋_GB2312" w:cs="Times New Roman"/>
          <w:kern w:val="2"/>
          <w:sz w:val="32"/>
          <w:szCs w:val="32"/>
        </w:rPr>
        <w:t>2019年</w:t>
      </w:r>
      <w:r>
        <w:rPr>
          <w:rFonts w:hint="eastAsia" w:ascii="仿宋_GB2312" w:eastAsia="仿宋_GB2312" w:cs="Times New Roman"/>
          <w:kern w:val="2"/>
          <w:sz w:val="32"/>
          <w:szCs w:val="32"/>
          <w:lang w:eastAsia="zh-CN"/>
        </w:rPr>
        <w:t>支出</w:t>
      </w:r>
      <w:r>
        <w:rPr>
          <w:rFonts w:hint="eastAsia" w:ascii="仿宋_GB2312" w:eastAsia="仿宋_GB2312" w:cs="Times New Roman"/>
          <w:kern w:val="2"/>
          <w:sz w:val="32"/>
          <w:szCs w:val="32"/>
        </w:rPr>
        <w:t>决算数为14</w:t>
      </w:r>
      <w:r>
        <w:rPr>
          <w:rFonts w:hint="eastAsia" w:ascii="仿宋_GB2312" w:eastAsia="仿宋_GB2312" w:cs="Times New Roman"/>
          <w:kern w:val="2"/>
          <w:sz w:val="32"/>
          <w:szCs w:val="32"/>
          <w:lang w:val="en-US" w:eastAsia="zh-CN"/>
        </w:rPr>
        <w:t>81</w:t>
      </w:r>
      <w:r>
        <w:rPr>
          <w:rFonts w:hint="eastAsia" w:ascii="仿宋_GB2312" w:eastAsia="仿宋_GB2312" w:cs="Times New Roman"/>
          <w:kern w:val="2"/>
          <w:sz w:val="32"/>
          <w:szCs w:val="32"/>
        </w:rPr>
        <w:t>.42万元。增加</w:t>
      </w:r>
      <w:r>
        <w:rPr>
          <w:rFonts w:ascii="仿宋_GB2312" w:eastAsia="仿宋_GB2312" w:cs="Times New Roman"/>
          <w:kern w:val="2"/>
          <w:sz w:val="32"/>
          <w:szCs w:val="32"/>
        </w:rPr>
        <w:t>原因主要为</w:t>
      </w:r>
      <w:r>
        <w:rPr>
          <w:rFonts w:hint="eastAsia" w:ascii="仿宋_GB2312" w:eastAsia="仿宋_GB2312" w:cs="Times New Roman"/>
          <w:kern w:val="2"/>
          <w:sz w:val="32"/>
          <w:szCs w:val="32"/>
        </w:rPr>
        <w:t>：人工影响天气</w:t>
      </w:r>
      <w:r>
        <w:rPr>
          <w:rFonts w:ascii="仿宋_GB2312" w:eastAsia="仿宋_GB2312" w:cs="Times New Roman"/>
          <w:kern w:val="2"/>
          <w:sz w:val="32"/>
          <w:szCs w:val="32"/>
        </w:rPr>
        <w:t>补助经费增加</w:t>
      </w:r>
      <w:r>
        <w:rPr>
          <w:rFonts w:hint="eastAsia" w:ascii="仿宋_GB2312" w:eastAsia="仿宋_GB2312" w:cs="Times New Roman"/>
          <w:kern w:val="2"/>
          <w:sz w:val="32"/>
          <w:szCs w:val="32"/>
        </w:rPr>
        <w:t>208.19万元</w:t>
      </w:r>
      <w:r>
        <w:rPr>
          <w:rFonts w:ascii="仿宋_GB2312" w:eastAsia="仿宋_GB2312" w:cs="Times New Roman"/>
          <w:kern w:val="2"/>
          <w:sz w:val="32"/>
          <w:szCs w:val="32"/>
        </w:rPr>
        <w:t>，科研经费增加</w:t>
      </w:r>
      <w:r>
        <w:rPr>
          <w:rFonts w:hint="eastAsia" w:ascii="仿宋_GB2312" w:eastAsia="仿宋_GB2312" w:cs="Times New Roman"/>
          <w:kern w:val="2"/>
          <w:sz w:val="32"/>
          <w:szCs w:val="32"/>
        </w:rPr>
        <w:t>10万元</w:t>
      </w:r>
      <w:r>
        <w:rPr>
          <w:rFonts w:ascii="仿宋_GB2312" w:eastAsia="仿宋_GB2312" w:cs="Times New Roman"/>
          <w:kern w:val="2"/>
          <w:sz w:val="32"/>
          <w:szCs w:val="32"/>
        </w:rPr>
        <w:t>，天气</w:t>
      </w:r>
      <w:r>
        <w:rPr>
          <w:rFonts w:hint="eastAsia" w:ascii="仿宋_GB2312" w:eastAsia="仿宋_GB2312" w:cs="Times New Roman"/>
          <w:kern w:val="2"/>
          <w:sz w:val="32"/>
          <w:szCs w:val="32"/>
        </w:rPr>
        <w:t>预报广告费100万元</w:t>
      </w:r>
      <w:r>
        <w:rPr>
          <w:rFonts w:hint="eastAsia" w:ascii="仿宋_GB2312" w:eastAsia="仿宋_GB2312" w:cs="Times New Roman"/>
          <w:kern w:val="2"/>
          <w:sz w:val="32"/>
          <w:szCs w:val="32"/>
          <w:lang w:eastAsia="zh-CN"/>
        </w:rPr>
        <w:t>，年初结转和结余资金</w:t>
      </w:r>
      <w:r>
        <w:rPr>
          <w:rFonts w:hint="eastAsia" w:ascii="仿宋_GB2312" w:eastAsia="仿宋_GB2312" w:cs="Times New Roman"/>
          <w:kern w:val="2"/>
          <w:sz w:val="32"/>
          <w:szCs w:val="32"/>
          <w:lang w:val="en-US" w:eastAsia="zh-CN"/>
        </w:rPr>
        <w:t>66.10万元。</w:t>
      </w:r>
    </w:p>
    <w:p w14:paraId="259CF137">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二、关于2019年度决算情况说明</w:t>
      </w:r>
    </w:p>
    <w:p w14:paraId="72180391">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（一）关于收支情况总体说明</w:t>
      </w:r>
    </w:p>
    <w:p w14:paraId="4970B22F">
      <w:pPr>
        <w:autoSpaceDE w:val="0"/>
        <w:autoSpaceDN w:val="0"/>
        <w:adjustRightInd w:val="0"/>
        <w:spacing w:before="100" w:beforeAutospacing="1" w:after="100" w:afterAutospacing="1" w:line="580" w:lineRule="exact"/>
        <w:ind w:firstLine="600"/>
        <w:rPr>
          <w:rFonts w:ascii="仿宋_GB2312" w:hAnsi="Times New Roman" w:eastAsia="仿宋_GB2312"/>
          <w:sz w:val="32"/>
          <w:szCs w:val="32"/>
        </w:rPr>
      </w:pPr>
      <w:r>
        <w:rPr>
          <w:rFonts w:hint="eastAsia" w:ascii="仿宋_GB2312" w:hAnsi="Times New Roman" w:eastAsia="仿宋_GB2312"/>
          <w:sz w:val="32"/>
          <w:szCs w:val="32"/>
        </w:rPr>
        <w:t>本部门2019年度收入总计1,481.52万元，其中：本年收入合计1,415.42万元，用事业基金弥补收支差额0.00万元，年初结转和结余66.10万元；支出总计1,481.52万元，其中：结余分配0.00万元，年末结转和结余0.10万元。与2018年度相比，收入总计增加239.46万元，增长19.30%；支出总计增加239.46万元，增长19.30%。主要原因为人工影响天气补助经费增加。</w:t>
      </w:r>
    </w:p>
    <w:p w14:paraId="61B51828">
      <w:pPr>
        <w:autoSpaceDE w:val="0"/>
        <w:autoSpaceDN w:val="0"/>
        <w:adjustRightInd w:val="0"/>
        <w:spacing w:before="100" w:beforeAutospacing="1" w:after="100" w:afterAutospacing="1" w:line="580" w:lineRule="exact"/>
        <w:ind w:firstLine="600"/>
        <w:rPr>
          <w:rFonts w:hint="eastAsia" w:ascii="Times New Roman" w:hAnsi="Times New Roman" w:eastAsia="楷体" w:cs="Times New Roman"/>
          <w:sz w:val="32"/>
          <w:szCs w:val="32"/>
        </w:rPr>
      </w:pPr>
      <w:r>
        <w:rPr>
          <w:rFonts w:hint="eastAsia" w:ascii="楷体" w:hAnsi="楷体" w:eastAsia="楷体"/>
          <w:sz w:val="32"/>
          <w:szCs w:val="32"/>
        </w:rPr>
        <w:t>（二）关于</w:t>
      </w:r>
      <w:r>
        <w:rPr>
          <w:rFonts w:hint="eastAsia" w:ascii="楷体" w:hAnsi="Times New Roman" w:eastAsia="楷体"/>
          <w:sz w:val="32"/>
          <w:szCs w:val="32"/>
        </w:rPr>
        <w:t>2019</w:t>
      </w:r>
      <w:r>
        <w:rPr>
          <w:rFonts w:hint="eastAsia" w:ascii="楷体" w:hAnsi="楷体" w:eastAsia="楷体"/>
          <w:sz w:val="32"/>
          <w:szCs w:val="32"/>
        </w:rPr>
        <w:t>年度收入决算情况说明</w:t>
      </w:r>
    </w:p>
    <w:p w14:paraId="2E2F6886">
      <w:pPr>
        <w:autoSpaceDE w:val="0"/>
        <w:autoSpaceDN w:val="0"/>
        <w:adjustRightInd w:val="0"/>
        <w:spacing w:before="100" w:beforeAutospacing="1" w:after="100" w:afterAutospacing="1" w:line="580" w:lineRule="exact"/>
        <w:ind w:firstLine="600"/>
        <w:rPr>
          <w:rFonts w:ascii="仿宋_GB2312" w:hAnsi="Times New Roman" w:eastAsia="仿宋_GB2312"/>
          <w:sz w:val="32"/>
          <w:szCs w:val="32"/>
        </w:rPr>
      </w:pPr>
      <w:r>
        <w:rPr>
          <w:rFonts w:hint="eastAsia" w:ascii="仿宋_GB2312" w:hAnsi="Times New Roman" w:eastAsia="仿宋_GB2312"/>
          <w:sz w:val="32"/>
          <w:szCs w:val="32"/>
        </w:rPr>
        <w:t>本部门2019年度收入合计1,415.42万元，其中：财政拨款收入1,415.42万元，占100.00%。</w:t>
      </w:r>
    </w:p>
    <w:p w14:paraId="2500C766">
      <w:pPr>
        <w:autoSpaceDE w:val="0"/>
        <w:autoSpaceDN w:val="0"/>
        <w:adjustRightInd w:val="0"/>
        <w:spacing w:before="100" w:beforeAutospacing="1" w:after="100" w:afterAutospacing="1" w:line="580" w:lineRule="exact"/>
        <w:ind w:firstLine="600"/>
        <w:rPr>
          <w:rFonts w:hint="eastAsia" w:ascii="Times New Roman" w:hAnsi="Times New Roman" w:eastAsia="楷体" w:cs="Times New Roman"/>
          <w:sz w:val="32"/>
          <w:szCs w:val="32"/>
        </w:rPr>
      </w:pPr>
      <w:r>
        <w:rPr>
          <w:rFonts w:hint="eastAsia" w:ascii="楷体" w:hAnsi="楷体" w:eastAsia="楷体"/>
          <w:sz w:val="32"/>
          <w:szCs w:val="32"/>
        </w:rPr>
        <w:t>（三）关于</w:t>
      </w:r>
      <w:r>
        <w:rPr>
          <w:rFonts w:hint="eastAsia" w:ascii="楷体" w:hAnsi="Times New Roman" w:eastAsia="楷体"/>
          <w:sz w:val="32"/>
          <w:szCs w:val="32"/>
        </w:rPr>
        <w:t>2019</w:t>
      </w:r>
      <w:r>
        <w:rPr>
          <w:rFonts w:hint="eastAsia" w:ascii="楷体" w:hAnsi="楷体" w:eastAsia="楷体"/>
          <w:sz w:val="32"/>
          <w:szCs w:val="32"/>
        </w:rPr>
        <w:t>年度支出决算情况说明</w:t>
      </w:r>
    </w:p>
    <w:p w14:paraId="4A36AC25">
      <w:pPr>
        <w:autoSpaceDE w:val="0"/>
        <w:autoSpaceDN w:val="0"/>
        <w:adjustRightInd w:val="0"/>
        <w:spacing w:before="100" w:beforeAutospacing="1" w:after="100" w:afterAutospacing="1" w:line="580" w:lineRule="exact"/>
        <w:ind w:firstLine="600"/>
        <w:rPr>
          <w:rFonts w:ascii="仿宋_GB2312" w:hAnsi="Times New Roman" w:eastAsia="仿宋_GB2312"/>
          <w:sz w:val="32"/>
          <w:szCs w:val="32"/>
        </w:rPr>
      </w:pPr>
      <w:r>
        <w:rPr>
          <w:rFonts w:hint="eastAsia" w:ascii="仿宋_GB2312" w:hAnsi="Times New Roman" w:eastAsia="仿宋_GB2312"/>
          <w:sz w:val="32"/>
          <w:szCs w:val="32"/>
        </w:rPr>
        <w:t>本部门2019年度支出合计1,481.42万元，其中：基本支出471.42万元，占31.80%；项目支出1,010.00万元，占68.20%。</w:t>
      </w:r>
    </w:p>
    <w:p w14:paraId="49F5314C">
      <w:pPr>
        <w:autoSpaceDE w:val="0"/>
        <w:autoSpaceDN w:val="0"/>
        <w:adjustRightInd w:val="0"/>
        <w:spacing w:before="100" w:beforeAutospacing="1" w:after="100" w:afterAutospacing="1" w:line="580" w:lineRule="exact"/>
        <w:ind w:firstLine="600"/>
        <w:rPr>
          <w:rFonts w:hint="eastAsia" w:ascii="Times New Roman" w:hAnsi="Times New Roman" w:eastAsia="楷体" w:cs="Times New Roman"/>
          <w:sz w:val="32"/>
          <w:szCs w:val="32"/>
        </w:rPr>
      </w:pPr>
      <w:r>
        <w:rPr>
          <w:rFonts w:hint="eastAsia" w:ascii="楷体" w:hAnsi="楷体" w:eastAsia="楷体"/>
          <w:sz w:val="32"/>
          <w:szCs w:val="32"/>
        </w:rPr>
        <w:t>（四）关于</w:t>
      </w:r>
      <w:r>
        <w:rPr>
          <w:rFonts w:hint="eastAsia" w:ascii="楷体" w:hAnsi="Times New Roman" w:eastAsia="楷体"/>
          <w:sz w:val="32"/>
          <w:szCs w:val="32"/>
        </w:rPr>
        <w:t>2019</w:t>
      </w:r>
      <w:r>
        <w:rPr>
          <w:rFonts w:hint="eastAsia" w:ascii="楷体" w:hAnsi="楷体" w:eastAsia="楷体"/>
          <w:sz w:val="32"/>
          <w:szCs w:val="32"/>
        </w:rPr>
        <w:t>年度财政拨款收入支出决算总体情况说明</w:t>
      </w:r>
    </w:p>
    <w:p w14:paraId="50CB783B">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本部门2019年度财政拨款收入总计1,481.52万元，其中：年初结转和结余66.10万元；支出总计1,481.52万元，其中：年末结转和结余0.10万元。与2018年度相比，收入增加239.46万元，增长19.30%；支出增加239.46万元，增长19.30%。主要原因为人工影响天气补助经费增加。</w:t>
      </w:r>
    </w:p>
    <w:p w14:paraId="27B47E14">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（五）关于</w:t>
      </w:r>
      <w:r>
        <w:rPr>
          <w:rFonts w:hint="eastAsia" w:ascii="楷体" w:hAnsi="Times New Roman" w:eastAsia="楷体"/>
          <w:sz w:val="32"/>
          <w:szCs w:val="32"/>
        </w:rPr>
        <w:t>2019</w:t>
      </w:r>
      <w:r>
        <w:rPr>
          <w:rFonts w:hint="eastAsia" w:ascii="楷体" w:hAnsi="楷体" w:eastAsia="楷体"/>
          <w:sz w:val="32"/>
          <w:szCs w:val="32"/>
        </w:rPr>
        <w:t>年度一般公共预算财政拨款支出决算情况说明</w:t>
      </w:r>
    </w:p>
    <w:p w14:paraId="2C942297">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本部门2019年度一般公共预算财政拨款支出合计1,481.42万元，其中：基本支出471.42万元，占31.80%；项目支出1,010.00万元，占68.20%。</w:t>
      </w:r>
    </w:p>
    <w:p w14:paraId="5BE5DAF3">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（六）关于</w:t>
      </w:r>
      <w:r>
        <w:rPr>
          <w:rFonts w:hint="eastAsia" w:ascii="楷体" w:hAnsi="Times New Roman" w:eastAsia="楷体"/>
          <w:sz w:val="32"/>
          <w:szCs w:val="32"/>
        </w:rPr>
        <w:t>2019</w:t>
      </w:r>
      <w:r>
        <w:rPr>
          <w:rFonts w:hint="eastAsia" w:ascii="楷体" w:hAnsi="楷体" w:eastAsia="楷体"/>
          <w:sz w:val="32"/>
          <w:szCs w:val="32"/>
        </w:rPr>
        <w:t>年度一般公共预算财政拨款基本支出决算情况说明</w:t>
      </w:r>
    </w:p>
    <w:p w14:paraId="6D51BF6F">
      <w:pPr>
        <w:autoSpaceDE w:val="0"/>
        <w:autoSpaceDN w:val="0"/>
        <w:adjustRightInd w:val="0"/>
        <w:spacing w:before="100" w:beforeAutospacing="1" w:after="100" w:afterAutospacing="1" w:line="580" w:lineRule="exact"/>
        <w:ind w:firstLine="600"/>
        <w:rPr>
          <w:rFonts w:ascii="仿宋_GB2312" w:hAnsi="Times New Roman" w:eastAsia="仿宋_GB2312"/>
          <w:sz w:val="32"/>
          <w:szCs w:val="32"/>
        </w:rPr>
      </w:pPr>
      <w:r>
        <w:rPr>
          <w:rFonts w:hint="eastAsia" w:ascii="仿宋_GB2312" w:hAnsi="Times New Roman" w:eastAsia="仿宋_GB2312"/>
          <w:sz w:val="32"/>
          <w:szCs w:val="32"/>
        </w:rPr>
        <w:t>本部门2019年度一般公共预算财政拨款基本支出471.42万元，其中：人员经费251.70万元，主要包括：基本工资7.41万元、津贴补贴164.27万元、绩效工资2.09万元、机关事业单位基本养老保险费2.72万元、职工基本医疗保险缴费1.7万元、公务员医疗补助缴费0.65万元、其他社会保障缴费0.59万元、住房公积金2.27万元、离休费4.37万元、退休费65.63万元，较上年增加49.80万元，主要原因是发放应休未休假补贴；公用经费219.72万元，主要包括：办公费1.68万元、取暖费9.85万元、差旅费37.19万元、专用材料费171.00万元、较上年增加206.66万元，主要原因是人工影响天气补助费用增加。</w:t>
      </w:r>
    </w:p>
    <w:p w14:paraId="7BD500BA">
      <w:pPr>
        <w:autoSpaceDE w:val="0"/>
        <w:autoSpaceDN w:val="0"/>
        <w:adjustRightInd w:val="0"/>
        <w:spacing w:before="100" w:beforeAutospacing="1" w:after="100" w:afterAutospacing="1" w:line="580" w:lineRule="exact"/>
        <w:ind w:firstLine="600"/>
        <w:rPr>
          <w:rFonts w:hint="eastAsia" w:ascii="Times New Roman" w:hAnsi="Times New Roman" w:eastAsia="楷体" w:cs="Times New Roman"/>
          <w:sz w:val="32"/>
          <w:szCs w:val="32"/>
        </w:rPr>
      </w:pPr>
      <w:r>
        <w:rPr>
          <w:rFonts w:hint="eastAsia" w:ascii="楷体" w:hAnsi="楷体" w:eastAsia="楷体"/>
          <w:sz w:val="32"/>
          <w:szCs w:val="32"/>
        </w:rPr>
        <w:t>（七）关于</w:t>
      </w:r>
      <w:r>
        <w:rPr>
          <w:rFonts w:hint="eastAsia" w:ascii="楷体" w:hAnsi="Times New Roman" w:eastAsia="楷体"/>
          <w:sz w:val="32"/>
          <w:szCs w:val="32"/>
        </w:rPr>
        <w:t>2019</w:t>
      </w:r>
      <w:r>
        <w:rPr>
          <w:rFonts w:hint="eastAsia" w:ascii="楷体" w:hAnsi="楷体" w:eastAsia="楷体"/>
          <w:sz w:val="32"/>
          <w:szCs w:val="32"/>
        </w:rPr>
        <w:t>年度财政拨款</w:t>
      </w:r>
      <w:r>
        <w:rPr>
          <w:rFonts w:ascii="Times New Roman" w:hAnsi="Times New Roman" w:eastAsia="楷体" w:cs="Times New Roman"/>
          <w:sz w:val="32"/>
          <w:szCs w:val="32"/>
        </w:rPr>
        <w:t>“</w:t>
      </w:r>
      <w:r>
        <w:rPr>
          <w:rFonts w:hint="eastAsia" w:ascii="楷体" w:hAnsi="楷体" w:eastAsia="楷体"/>
          <w:sz w:val="32"/>
          <w:szCs w:val="32"/>
        </w:rPr>
        <w:t>三公</w:t>
      </w:r>
      <w:r>
        <w:rPr>
          <w:rFonts w:ascii="Times New Roman" w:hAnsi="Times New Roman" w:eastAsia="楷体" w:cs="Times New Roman"/>
          <w:sz w:val="32"/>
          <w:szCs w:val="32"/>
        </w:rPr>
        <w:t>”</w:t>
      </w:r>
      <w:r>
        <w:rPr>
          <w:rFonts w:hint="eastAsia" w:ascii="楷体" w:hAnsi="楷体" w:eastAsia="楷体"/>
          <w:sz w:val="32"/>
          <w:szCs w:val="32"/>
        </w:rPr>
        <w:t>经费支出决算情况说明</w:t>
      </w:r>
    </w:p>
    <w:p w14:paraId="721EE483">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1、财政拨款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经费支出决算总体情况说明</w:t>
      </w:r>
    </w:p>
    <w:p w14:paraId="3BCC3DEA">
      <w:pPr>
        <w:autoSpaceDE w:val="0"/>
        <w:autoSpaceDN w:val="0"/>
        <w:adjustRightInd w:val="0"/>
        <w:spacing w:before="100" w:beforeAutospacing="1" w:after="100" w:afterAutospacing="1" w:line="580" w:lineRule="exact"/>
        <w:ind w:firstLine="600"/>
        <w:rPr>
          <w:rFonts w:ascii="仿宋_GB2312" w:hAnsi="Times New Roman" w:eastAsia="仿宋_GB2312"/>
          <w:sz w:val="32"/>
          <w:szCs w:val="32"/>
        </w:rPr>
      </w:pPr>
      <w:r>
        <w:rPr>
          <w:rFonts w:hint="eastAsia" w:ascii="仿宋_GB2312" w:hAnsi="Times New Roman" w:eastAsia="仿宋_GB2312"/>
          <w:sz w:val="32"/>
          <w:szCs w:val="32"/>
        </w:rPr>
        <w:t>本部门2019年度财政拨款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预算为0.50万元，支出决算为0.00万元，完成预算的0.00%，其中：因公出国（境）费预算为0.00万元，支出决算为0.00万元，完成预算的0.00%；公务用车购置及运行维护费预算为0.00万元，支出决算为0.00万元，完成预算的0.00%；公务接待费预算为0.50万元，支出决算为0.00万元，完成预算的0.00%。2019年度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经费支出决算与预算差异情况的原因2019年未发生“三公”经费。</w:t>
      </w:r>
    </w:p>
    <w:p w14:paraId="24B97967">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sz w:val="32"/>
          <w:szCs w:val="32"/>
        </w:rPr>
      </w:pPr>
      <w:r>
        <w:rPr>
          <w:rFonts w:hint="eastAsia" w:ascii="仿宋_GB2312" w:hAnsi="Times New Roman" w:eastAsia="仿宋_GB2312"/>
          <w:sz w:val="32"/>
          <w:szCs w:val="32"/>
        </w:rPr>
        <w:t>2、财政拨款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经费支出决算具体情况说明</w:t>
      </w:r>
    </w:p>
    <w:p w14:paraId="4998542A">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本部门2019年度财政拨款</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经费支出0.00万元，因公出国（境）费支出0.00万元，占0.00%；公务用车购置及运行维护费支出0.00万元，占0.00%；公务接待费支出0.00万元，占0.00%。具体情况如下：</w:t>
      </w:r>
    </w:p>
    <w:p w14:paraId="3CE2FD10">
      <w:pPr>
        <w:keepNext w:val="0"/>
        <w:keepLines w:val="0"/>
        <w:widowControl/>
        <w:suppressLineNumbers w:val="0"/>
        <w:autoSpaceDE w:val="0"/>
        <w:autoSpaceDN w:val="0"/>
        <w:adjustRightInd w:val="0"/>
        <w:spacing w:before="0" w:beforeAutospacing="1" w:after="0" w:afterAutospacing="1" w:line="580" w:lineRule="exact"/>
        <w:ind w:left="0" w:right="0" w:firstLine="600"/>
        <w:rPr>
          <w:rFonts w:ascii="仿宋_GB2312" w:hAnsi="Times New Roman" w:eastAsia="仿宋_GB2312"/>
          <w:sz w:val="32"/>
          <w:szCs w:val="32"/>
        </w:rPr>
      </w:pPr>
      <w:r>
        <w:rPr>
          <w:rFonts w:hint="eastAsia" w:ascii="仿宋_GB2312" w:hAnsi="Times New Roman" w:eastAsia="仿宋_GB2312"/>
          <w:b/>
          <w:bCs/>
          <w:sz w:val="32"/>
          <w:szCs w:val="32"/>
        </w:rPr>
        <w:t>因公出国（境）费支出</w:t>
      </w:r>
      <w:r>
        <w:rPr>
          <w:rFonts w:hint="eastAsia" w:ascii="仿宋_GB2312" w:hAnsi="Times New Roman" w:eastAsia="仿宋_GB2312"/>
          <w:sz w:val="32"/>
          <w:szCs w:val="32"/>
        </w:rPr>
        <w:t>0.00万元。全年因公出国（境）团组0个，累计0人次。</w:t>
      </w:r>
      <w:r>
        <w:rPr>
          <w:rFonts w:hint="eastAsia" w:ascii="仿宋_GB2312" w:hAnsi="Times New Roman" w:eastAsia="仿宋_GB2312" w:cs="仿宋_GB2312"/>
          <w:color w:val="auto"/>
          <w:sz w:val="32"/>
          <w:szCs w:val="32"/>
        </w:rPr>
        <w:t>较上年增加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万元，主要原因是</w:t>
      </w:r>
      <w:r>
        <w:rPr>
          <w:rFonts w:hint="eastAsia" w:ascii="仿宋_GB2312" w:hAnsi="Times New Roman" w:eastAsia="仿宋_GB2312" w:cs="仿宋_GB2312"/>
          <w:color w:val="auto"/>
          <w:sz w:val="32"/>
          <w:szCs w:val="32"/>
          <w:lang w:eastAsia="zh-CN"/>
        </w:rPr>
        <w:t>本单位未发生此项业务。</w:t>
      </w:r>
    </w:p>
    <w:p w14:paraId="053129B5">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sz w:val="32"/>
          <w:szCs w:val="32"/>
        </w:rPr>
      </w:pPr>
      <w:r>
        <w:rPr>
          <w:rFonts w:hint="eastAsia" w:ascii="仿宋_GB2312" w:hAnsi="Times New Roman" w:eastAsia="仿宋_GB2312"/>
          <w:b/>
          <w:bCs/>
          <w:sz w:val="32"/>
          <w:szCs w:val="32"/>
        </w:rPr>
        <w:t>公务用车购置及运行维护费支出</w:t>
      </w:r>
      <w:r>
        <w:rPr>
          <w:rFonts w:hint="eastAsia" w:ascii="仿宋_GB2312" w:hAnsi="Times New Roman" w:eastAsia="仿宋_GB2312"/>
          <w:sz w:val="32"/>
          <w:szCs w:val="32"/>
        </w:rPr>
        <w:t>0.00万元。其中：公务用车购置支出0.00万元，车均购置费0.00万元，较上年增加0.00万元。公务用车运行维护费支出0.00万元，车均运维费0.00万元，较上年增加0.00万元，财政拨款开支的公务用车保有量为0辆。</w:t>
      </w:r>
    </w:p>
    <w:p w14:paraId="6C74BB1E">
      <w:pPr>
        <w:keepNext w:val="0"/>
        <w:keepLines w:val="0"/>
        <w:widowControl/>
        <w:suppressLineNumbers w:val="0"/>
        <w:autoSpaceDE w:val="0"/>
        <w:autoSpaceDN w:val="0"/>
        <w:adjustRightInd w:val="0"/>
        <w:spacing w:before="0" w:beforeAutospacing="1" w:after="0" w:afterAutospacing="1" w:line="580" w:lineRule="exact"/>
        <w:ind w:left="0" w:right="0" w:firstLine="600"/>
        <w:rPr>
          <w:rFonts w:ascii="仿宋_GB2312" w:hAnsi="Times New Roman" w:eastAsia="仿宋_GB2312"/>
          <w:sz w:val="32"/>
          <w:szCs w:val="32"/>
        </w:rPr>
      </w:pPr>
      <w:r>
        <w:rPr>
          <w:rFonts w:hint="eastAsia" w:ascii="仿宋_GB2312" w:hAnsi="Times New Roman" w:eastAsia="仿宋_GB2312"/>
          <w:b/>
          <w:bCs/>
          <w:sz w:val="32"/>
          <w:szCs w:val="32"/>
        </w:rPr>
        <w:t>公务接待费支出</w:t>
      </w:r>
      <w:r>
        <w:rPr>
          <w:rFonts w:hint="eastAsia" w:ascii="仿宋_GB2312" w:hAnsi="Times New Roman" w:eastAsia="仿宋_GB2312"/>
          <w:sz w:val="32"/>
          <w:szCs w:val="32"/>
        </w:rPr>
        <w:t>0.00万元。其中：国内公务接待费0.00万元，接待0批次，共接待0人次。国（境）外接待费0.00万元，接待0批次，共接待0人次。</w:t>
      </w:r>
      <w:r>
        <w:rPr>
          <w:rFonts w:hint="eastAsia" w:ascii="仿宋_GB2312" w:hAnsi="Times New Roman" w:eastAsia="仿宋_GB2312" w:cs="仿宋_GB2312"/>
          <w:color w:val="auto"/>
          <w:sz w:val="32"/>
          <w:szCs w:val="32"/>
        </w:rPr>
        <w:t>较上年增加</w:t>
      </w:r>
      <w:r>
        <w:rPr>
          <w:rFonts w:hint="eastAsia" w:ascii="仿宋_GB2312" w:hAnsi="Times New Roman" w:eastAsia="仿宋_GB2312" w:cs="仿宋_GB2312"/>
          <w:color w:val="auto"/>
          <w:sz w:val="32"/>
          <w:szCs w:val="32"/>
          <w:lang w:val="en-US"/>
        </w:rPr>
        <w:t>0.00</w:t>
      </w:r>
      <w:r>
        <w:rPr>
          <w:rFonts w:hint="eastAsia" w:ascii="仿宋_GB2312" w:hAnsi="Times New Roman" w:eastAsia="仿宋_GB2312" w:cs="仿宋_GB2312"/>
          <w:color w:val="auto"/>
          <w:sz w:val="32"/>
          <w:szCs w:val="32"/>
        </w:rPr>
        <w:t>万元，主要原因是</w:t>
      </w:r>
      <w:r>
        <w:rPr>
          <w:rFonts w:hint="eastAsia" w:ascii="仿宋_GB2312" w:hAnsi="Times New Roman" w:eastAsia="仿宋_GB2312" w:cs="仿宋_GB2312"/>
          <w:color w:val="auto"/>
          <w:sz w:val="32"/>
          <w:szCs w:val="32"/>
          <w:lang w:eastAsia="zh-CN"/>
        </w:rPr>
        <w:t>本单位未发生此项业务。</w:t>
      </w:r>
    </w:p>
    <w:p w14:paraId="0410AC36">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sz w:val="32"/>
          <w:szCs w:val="32"/>
        </w:rPr>
      </w:pPr>
      <w:r>
        <w:rPr>
          <w:rFonts w:hint="eastAsia" w:ascii="仿宋_GB2312" w:hAnsi="Times New Roman" w:eastAsia="仿宋_GB2312"/>
          <w:sz w:val="32"/>
          <w:szCs w:val="32"/>
        </w:rPr>
        <w:t>三、预算绩效情况说明</w:t>
      </w:r>
    </w:p>
    <w:p w14:paraId="59010C7F">
      <w:pPr>
        <w:autoSpaceDE w:val="0"/>
        <w:autoSpaceDN w:val="0"/>
        <w:adjustRightInd w:val="0"/>
        <w:spacing w:before="100" w:beforeAutospacing="1" w:after="100" w:afterAutospacing="1" w:line="580" w:lineRule="exact"/>
        <w:ind w:firstLine="600"/>
        <w:rPr>
          <w:rFonts w:ascii="楷体" w:hAnsi="楷体" w:eastAsia="楷体"/>
          <w:sz w:val="32"/>
          <w:szCs w:val="32"/>
        </w:rPr>
      </w:pPr>
      <w:r>
        <w:rPr>
          <w:rFonts w:hint="eastAsia" w:ascii="楷体" w:hAnsi="楷体" w:eastAsia="楷体"/>
          <w:sz w:val="32"/>
          <w:szCs w:val="32"/>
        </w:rPr>
        <w:t>（一）预算绩效管理工作开展情况</w:t>
      </w:r>
    </w:p>
    <w:p w14:paraId="7C4B931A">
      <w:pPr>
        <w:adjustRightInd w:val="0"/>
        <w:spacing w:before="100" w:beforeAutospacing="1" w:after="100" w:afterAutospacing="1" w:line="580" w:lineRule="exact"/>
        <w:ind w:firstLine="600"/>
        <w:rPr>
          <w:rFonts w:ascii="仿宋_GB2312" w:hAnsi="Times New Roman" w:eastAsia="仿宋_GB2312"/>
          <w:sz w:val="32"/>
          <w:szCs w:val="32"/>
        </w:rPr>
      </w:pPr>
      <w:r>
        <w:rPr>
          <w:rFonts w:hint="eastAsia" w:ascii="仿宋_GB2312" w:hAnsi="Times New Roman" w:eastAsia="仿宋_GB2312"/>
          <w:sz w:val="32"/>
          <w:szCs w:val="32"/>
        </w:rPr>
        <w:t>2019年均按要求在编报项目预算时同步编报项目绩效目标，纳入2019年部门预算管理的项目均按要求编报了绩效目标，结合预算功能科目与产出构成、经济科目与成本费用的绩效关系，进一步加强对绩效目标编制质量的审核，提高绩效目标与项目预算的匹配性，按照要求按时完成绩效自评工作。</w:t>
      </w:r>
    </w:p>
    <w:p w14:paraId="5120F92F">
      <w:pPr>
        <w:autoSpaceDE w:val="0"/>
        <w:autoSpaceDN w:val="0"/>
        <w:adjustRightInd w:val="0"/>
        <w:spacing w:before="100" w:beforeAutospacing="1" w:after="100" w:afterAutospacing="1" w:line="580" w:lineRule="exact"/>
        <w:ind w:firstLine="600"/>
        <w:rPr>
          <w:rFonts w:ascii="楷体" w:hAnsi="楷体" w:eastAsia="楷体"/>
          <w:sz w:val="32"/>
          <w:szCs w:val="32"/>
        </w:rPr>
      </w:pPr>
      <w:r>
        <w:rPr>
          <w:rFonts w:hint="eastAsia" w:ascii="楷体" w:hAnsi="楷体" w:eastAsia="楷体"/>
          <w:sz w:val="32"/>
          <w:szCs w:val="32"/>
        </w:rPr>
        <w:t>（二）部门决算中项目绩效自评结果</w:t>
      </w:r>
    </w:p>
    <w:p w14:paraId="682764C5">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地方气象事业费项目，绩效自评结果良好，各项自评指标设置科学，权重合理，得分客观，指标设置涵盖业务流程全过程，通过绩效指标设置，保障了业务的稳定运行，能够提供及时有效的气象服务，为呼伦贝尔社会、经济发展提供气象保障。</w:t>
      </w:r>
    </w:p>
    <w:tbl>
      <w:tblPr>
        <w:tblStyle w:val="10"/>
        <w:tblW w:w="8360" w:type="dxa"/>
        <w:tblInd w:w="0" w:type="dxa"/>
        <w:shd w:val="clear" w:color="auto" w:fill="auto"/>
        <w:tblLayout w:type="fixed"/>
        <w:tblCellMar>
          <w:top w:w="0" w:type="dxa"/>
          <w:left w:w="0" w:type="dxa"/>
          <w:bottom w:w="0" w:type="dxa"/>
          <w:right w:w="0" w:type="dxa"/>
        </w:tblCellMar>
      </w:tblPr>
      <w:tblGrid>
        <w:gridCol w:w="377"/>
        <w:gridCol w:w="314"/>
        <w:gridCol w:w="729"/>
        <w:gridCol w:w="481"/>
        <w:gridCol w:w="569"/>
        <w:gridCol w:w="780"/>
        <w:gridCol w:w="90"/>
        <w:gridCol w:w="562"/>
        <w:gridCol w:w="311"/>
        <w:gridCol w:w="380"/>
        <w:gridCol w:w="412"/>
        <w:gridCol w:w="158"/>
        <w:gridCol w:w="285"/>
        <w:gridCol w:w="375"/>
        <w:gridCol w:w="202"/>
        <w:gridCol w:w="720"/>
        <w:gridCol w:w="390"/>
        <w:gridCol w:w="564"/>
        <w:gridCol w:w="661"/>
      </w:tblGrid>
      <w:tr w14:paraId="54CA2892">
        <w:tblPrEx>
          <w:shd w:val="clear" w:color="auto" w:fill="auto"/>
          <w:tblCellMar>
            <w:top w:w="0" w:type="dxa"/>
            <w:left w:w="0" w:type="dxa"/>
            <w:bottom w:w="0" w:type="dxa"/>
            <w:right w:w="0" w:type="dxa"/>
          </w:tblCellMar>
        </w:tblPrEx>
        <w:trPr>
          <w:trHeight w:val="405" w:hRule="atLeast"/>
        </w:trPr>
        <w:tc>
          <w:tcPr>
            <w:tcW w:w="8360" w:type="dxa"/>
            <w:gridSpan w:val="19"/>
            <w:tcBorders>
              <w:top w:val="nil"/>
              <w:left w:val="nil"/>
              <w:bottom w:val="nil"/>
              <w:right w:val="nil"/>
            </w:tcBorders>
            <w:shd w:val="clear" w:color="auto" w:fill="auto"/>
            <w:tcMar>
              <w:top w:w="15" w:type="dxa"/>
              <w:left w:w="15" w:type="dxa"/>
              <w:right w:w="15" w:type="dxa"/>
            </w:tcMar>
            <w:vAlign w:val="center"/>
          </w:tcPr>
          <w:p w14:paraId="70C91E1C">
            <w:pPr>
              <w:keepNext w:val="0"/>
              <w:keepLines w:val="0"/>
              <w:widowControl/>
              <w:suppressLineNumbers w:val="0"/>
              <w:jc w:val="center"/>
              <w:textAlignment w:val="center"/>
              <w:rPr>
                <w:rFonts w:ascii="黑体" w:hAnsi="宋体" w:eastAsia="黑体" w:cs="黑体"/>
                <w:b/>
                <w:i w:val="0"/>
                <w:color w:val="000000"/>
                <w:sz w:val="32"/>
                <w:szCs w:val="32"/>
                <w:u w:val="none"/>
              </w:rPr>
            </w:pPr>
            <w:r>
              <w:rPr>
                <w:rFonts w:hint="eastAsia" w:ascii="黑体" w:hAnsi="宋体" w:eastAsia="黑体" w:cs="黑体"/>
                <w:b/>
                <w:i w:val="0"/>
                <w:color w:val="000000"/>
                <w:kern w:val="0"/>
                <w:sz w:val="32"/>
                <w:szCs w:val="32"/>
                <w:u w:val="none"/>
                <w:lang w:val="en-US" w:eastAsia="zh-CN" w:bidi="ar"/>
              </w:rPr>
              <w:t>2019年财政资金绩效评价自评信息表</w:t>
            </w:r>
          </w:p>
        </w:tc>
      </w:tr>
      <w:tr w14:paraId="24CCD5C6">
        <w:tblPrEx>
          <w:shd w:val="clear" w:color="auto" w:fill="auto"/>
          <w:tblCellMar>
            <w:top w:w="0" w:type="dxa"/>
            <w:left w:w="0" w:type="dxa"/>
            <w:bottom w:w="0" w:type="dxa"/>
            <w:right w:w="0" w:type="dxa"/>
          </w:tblCellMar>
        </w:tblPrEx>
        <w:trPr>
          <w:trHeight w:val="204" w:hRule="atLeast"/>
        </w:trPr>
        <w:tc>
          <w:tcPr>
            <w:tcW w:w="377" w:type="dxa"/>
            <w:tcBorders>
              <w:top w:val="nil"/>
              <w:left w:val="nil"/>
              <w:bottom w:val="nil"/>
              <w:right w:val="nil"/>
            </w:tcBorders>
            <w:shd w:val="clear" w:color="auto" w:fill="auto"/>
            <w:tcMar>
              <w:top w:w="15" w:type="dxa"/>
              <w:left w:w="15" w:type="dxa"/>
              <w:right w:w="15" w:type="dxa"/>
            </w:tcMar>
            <w:vAlign w:val="center"/>
          </w:tcPr>
          <w:p w14:paraId="57823671">
            <w:pPr>
              <w:rPr>
                <w:rFonts w:hint="eastAsia" w:ascii="宋体" w:hAnsi="宋体" w:eastAsia="宋体" w:cs="宋体"/>
                <w:i w:val="0"/>
                <w:color w:val="000000"/>
                <w:sz w:val="24"/>
                <w:szCs w:val="24"/>
                <w:u w:val="none"/>
              </w:rPr>
            </w:pPr>
          </w:p>
        </w:tc>
        <w:tc>
          <w:tcPr>
            <w:tcW w:w="314" w:type="dxa"/>
            <w:tcBorders>
              <w:top w:val="nil"/>
              <w:left w:val="nil"/>
              <w:bottom w:val="nil"/>
              <w:right w:val="nil"/>
            </w:tcBorders>
            <w:shd w:val="clear" w:color="auto" w:fill="auto"/>
            <w:tcMar>
              <w:top w:w="15" w:type="dxa"/>
              <w:left w:w="15" w:type="dxa"/>
              <w:right w:w="15" w:type="dxa"/>
            </w:tcMar>
            <w:vAlign w:val="center"/>
          </w:tcPr>
          <w:p w14:paraId="292F1F04">
            <w:pPr>
              <w:rPr>
                <w:rFonts w:hint="eastAsia" w:ascii="宋体" w:hAnsi="宋体" w:eastAsia="宋体" w:cs="宋体"/>
                <w:i w:val="0"/>
                <w:color w:val="000000"/>
                <w:sz w:val="24"/>
                <w:szCs w:val="24"/>
                <w:u w:val="none"/>
              </w:rPr>
            </w:pPr>
          </w:p>
        </w:tc>
        <w:tc>
          <w:tcPr>
            <w:tcW w:w="729" w:type="dxa"/>
            <w:tcBorders>
              <w:top w:val="nil"/>
              <w:left w:val="nil"/>
              <w:bottom w:val="nil"/>
              <w:right w:val="nil"/>
            </w:tcBorders>
            <w:shd w:val="clear" w:color="auto" w:fill="auto"/>
            <w:tcMar>
              <w:top w:w="15" w:type="dxa"/>
              <w:left w:w="15" w:type="dxa"/>
              <w:right w:w="15" w:type="dxa"/>
            </w:tcMar>
            <w:vAlign w:val="center"/>
          </w:tcPr>
          <w:p w14:paraId="29BF2DA4">
            <w:pPr>
              <w:rPr>
                <w:rFonts w:hint="eastAsia" w:ascii="宋体" w:hAnsi="宋体" w:eastAsia="宋体" w:cs="宋体"/>
                <w:i w:val="0"/>
                <w:color w:val="000000"/>
                <w:sz w:val="24"/>
                <w:szCs w:val="24"/>
                <w:u w:val="none"/>
              </w:rPr>
            </w:pPr>
          </w:p>
        </w:tc>
        <w:tc>
          <w:tcPr>
            <w:tcW w:w="481" w:type="dxa"/>
            <w:tcBorders>
              <w:top w:val="nil"/>
              <w:left w:val="nil"/>
              <w:bottom w:val="nil"/>
              <w:right w:val="nil"/>
            </w:tcBorders>
            <w:shd w:val="clear" w:color="auto" w:fill="auto"/>
            <w:tcMar>
              <w:top w:w="15" w:type="dxa"/>
              <w:left w:w="15" w:type="dxa"/>
              <w:right w:w="15" w:type="dxa"/>
            </w:tcMar>
            <w:vAlign w:val="center"/>
          </w:tcPr>
          <w:p w14:paraId="4182FC19">
            <w:pPr>
              <w:rPr>
                <w:rFonts w:hint="eastAsia" w:ascii="宋体" w:hAnsi="宋体" w:eastAsia="宋体" w:cs="宋体"/>
                <w:i w:val="0"/>
                <w:color w:val="000000"/>
                <w:sz w:val="24"/>
                <w:szCs w:val="24"/>
                <w:u w:val="none"/>
              </w:rPr>
            </w:pPr>
          </w:p>
        </w:tc>
        <w:tc>
          <w:tcPr>
            <w:tcW w:w="1349" w:type="dxa"/>
            <w:gridSpan w:val="2"/>
            <w:tcBorders>
              <w:top w:val="nil"/>
              <w:left w:val="nil"/>
              <w:bottom w:val="nil"/>
              <w:right w:val="nil"/>
            </w:tcBorders>
            <w:shd w:val="clear" w:color="auto" w:fill="auto"/>
            <w:tcMar>
              <w:top w:w="15" w:type="dxa"/>
              <w:left w:w="15" w:type="dxa"/>
              <w:right w:w="15" w:type="dxa"/>
            </w:tcMar>
            <w:vAlign w:val="center"/>
          </w:tcPr>
          <w:p w14:paraId="3354FC52">
            <w:pPr>
              <w:rPr>
                <w:rFonts w:hint="eastAsia" w:ascii="宋体" w:hAnsi="宋体" w:eastAsia="宋体" w:cs="宋体"/>
                <w:i w:val="0"/>
                <w:color w:val="000000"/>
                <w:sz w:val="24"/>
                <w:szCs w:val="24"/>
                <w:u w:val="none"/>
              </w:rPr>
            </w:pPr>
          </w:p>
        </w:tc>
        <w:tc>
          <w:tcPr>
            <w:tcW w:w="652" w:type="dxa"/>
            <w:gridSpan w:val="2"/>
            <w:tcBorders>
              <w:top w:val="nil"/>
              <w:left w:val="nil"/>
              <w:bottom w:val="nil"/>
              <w:right w:val="nil"/>
            </w:tcBorders>
            <w:shd w:val="clear" w:color="auto" w:fill="auto"/>
            <w:tcMar>
              <w:top w:w="15" w:type="dxa"/>
              <w:left w:w="15" w:type="dxa"/>
              <w:right w:w="15" w:type="dxa"/>
            </w:tcMar>
            <w:vAlign w:val="center"/>
          </w:tcPr>
          <w:p w14:paraId="3059CCB0">
            <w:pPr>
              <w:rPr>
                <w:rFonts w:hint="eastAsia" w:ascii="宋体" w:hAnsi="宋体" w:eastAsia="宋体" w:cs="宋体"/>
                <w:i w:val="0"/>
                <w:color w:val="000000"/>
                <w:sz w:val="24"/>
                <w:szCs w:val="24"/>
                <w:u w:val="none"/>
              </w:rPr>
            </w:pPr>
          </w:p>
        </w:tc>
        <w:tc>
          <w:tcPr>
            <w:tcW w:w="311" w:type="dxa"/>
            <w:tcBorders>
              <w:top w:val="nil"/>
              <w:left w:val="nil"/>
              <w:bottom w:val="nil"/>
              <w:right w:val="nil"/>
            </w:tcBorders>
            <w:shd w:val="clear" w:color="auto" w:fill="auto"/>
            <w:tcMar>
              <w:top w:w="15" w:type="dxa"/>
              <w:left w:w="15" w:type="dxa"/>
              <w:right w:w="15" w:type="dxa"/>
            </w:tcMar>
            <w:vAlign w:val="center"/>
          </w:tcPr>
          <w:p w14:paraId="00D077A0">
            <w:pPr>
              <w:rPr>
                <w:rFonts w:hint="eastAsia" w:ascii="宋体" w:hAnsi="宋体" w:eastAsia="宋体" w:cs="宋体"/>
                <w:i w:val="0"/>
                <w:color w:val="000000"/>
                <w:sz w:val="24"/>
                <w:szCs w:val="24"/>
                <w:u w:val="none"/>
              </w:rPr>
            </w:pPr>
          </w:p>
        </w:tc>
        <w:tc>
          <w:tcPr>
            <w:tcW w:w="380" w:type="dxa"/>
            <w:tcBorders>
              <w:top w:val="nil"/>
              <w:left w:val="nil"/>
              <w:bottom w:val="nil"/>
              <w:right w:val="nil"/>
            </w:tcBorders>
            <w:shd w:val="clear" w:color="auto" w:fill="auto"/>
            <w:tcMar>
              <w:top w:w="15" w:type="dxa"/>
              <w:left w:w="15" w:type="dxa"/>
              <w:right w:w="15" w:type="dxa"/>
            </w:tcMar>
            <w:vAlign w:val="center"/>
          </w:tcPr>
          <w:p w14:paraId="7437862A">
            <w:pPr>
              <w:rPr>
                <w:rFonts w:hint="eastAsia" w:ascii="宋体" w:hAnsi="宋体" w:eastAsia="宋体" w:cs="宋体"/>
                <w:i w:val="0"/>
                <w:color w:val="000000"/>
                <w:sz w:val="24"/>
                <w:szCs w:val="24"/>
                <w:u w:val="none"/>
              </w:rPr>
            </w:pPr>
          </w:p>
        </w:tc>
        <w:tc>
          <w:tcPr>
            <w:tcW w:w="412" w:type="dxa"/>
            <w:tcBorders>
              <w:top w:val="nil"/>
              <w:left w:val="nil"/>
              <w:bottom w:val="nil"/>
              <w:right w:val="nil"/>
            </w:tcBorders>
            <w:shd w:val="clear" w:color="auto" w:fill="auto"/>
            <w:tcMar>
              <w:top w:w="15" w:type="dxa"/>
              <w:left w:w="15" w:type="dxa"/>
              <w:right w:w="15" w:type="dxa"/>
            </w:tcMar>
            <w:vAlign w:val="center"/>
          </w:tcPr>
          <w:p w14:paraId="316E97DE">
            <w:pPr>
              <w:rPr>
                <w:rFonts w:hint="eastAsia" w:ascii="宋体" w:hAnsi="宋体" w:eastAsia="宋体" w:cs="宋体"/>
                <w:i w:val="0"/>
                <w:color w:val="000000"/>
                <w:sz w:val="24"/>
                <w:szCs w:val="24"/>
                <w:u w:val="none"/>
              </w:rPr>
            </w:pPr>
          </w:p>
        </w:tc>
        <w:tc>
          <w:tcPr>
            <w:tcW w:w="158" w:type="dxa"/>
            <w:tcBorders>
              <w:top w:val="nil"/>
              <w:left w:val="nil"/>
              <w:bottom w:val="nil"/>
              <w:right w:val="nil"/>
            </w:tcBorders>
            <w:shd w:val="clear" w:color="auto" w:fill="auto"/>
            <w:tcMar>
              <w:top w:w="15" w:type="dxa"/>
              <w:left w:w="15" w:type="dxa"/>
              <w:right w:w="15" w:type="dxa"/>
            </w:tcMar>
            <w:vAlign w:val="center"/>
          </w:tcPr>
          <w:p w14:paraId="59CA1C20">
            <w:pPr>
              <w:rPr>
                <w:rFonts w:hint="eastAsia" w:ascii="宋体" w:hAnsi="宋体" w:eastAsia="宋体" w:cs="宋体"/>
                <w:i w:val="0"/>
                <w:color w:val="000000"/>
                <w:sz w:val="24"/>
                <w:szCs w:val="24"/>
                <w:u w:val="none"/>
              </w:rPr>
            </w:pPr>
          </w:p>
        </w:tc>
        <w:tc>
          <w:tcPr>
            <w:tcW w:w="285" w:type="dxa"/>
            <w:tcBorders>
              <w:top w:val="nil"/>
              <w:left w:val="nil"/>
              <w:bottom w:val="nil"/>
              <w:right w:val="nil"/>
            </w:tcBorders>
            <w:shd w:val="clear" w:color="auto" w:fill="auto"/>
            <w:tcMar>
              <w:top w:w="15" w:type="dxa"/>
              <w:left w:w="15" w:type="dxa"/>
              <w:right w:w="15" w:type="dxa"/>
            </w:tcMar>
            <w:vAlign w:val="center"/>
          </w:tcPr>
          <w:p w14:paraId="5EA4885D">
            <w:pPr>
              <w:rPr>
                <w:rFonts w:hint="eastAsia" w:ascii="宋体" w:hAnsi="宋体" w:eastAsia="宋体" w:cs="宋体"/>
                <w:i w:val="0"/>
                <w:color w:val="000000"/>
                <w:sz w:val="24"/>
                <w:szCs w:val="24"/>
                <w:u w:val="none"/>
              </w:rPr>
            </w:pPr>
          </w:p>
        </w:tc>
        <w:tc>
          <w:tcPr>
            <w:tcW w:w="375" w:type="dxa"/>
            <w:tcBorders>
              <w:top w:val="nil"/>
              <w:left w:val="nil"/>
              <w:bottom w:val="nil"/>
              <w:right w:val="nil"/>
            </w:tcBorders>
            <w:shd w:val="clear" w:color="auto" w:fill="auto"/>
            <w:tcMar>
              <w:top w:w="15" w:type="dxa"/>
              <w:left w:w="15" w:type="dxa"/>
              <w:right w:w="15" w:type="dxa"/>
            </w:tcMar>
            <w:vAlign w:val="center"/>
          </w:tcPr>
          <w:p w14:paraId="170BA95A">
            <w:pPr>
              <w:rPr>
                <w:rFonts w:hint="eastAsia" w:ascii="宋体" w:hAnsi="宋体" w:eastAsia="宋体" w:cs="宋体"/>
                <w:i w:val="0"/>
                <w:color w:val="000000"/>
                <w:sz w:val="24"/>
                <w:szCs w:val="24"/>
                <w:u w:val="none"/>
              </w:rPr>
            </w:pPr>
          </w:p>
        </w:tc>
        <w:tc>
          <w:tcPr>
            <w:tcW w:w="922" w:type="dxa"/>
            <w:gridSpan w:val="2"/>
            <w:tcBorders>
              <w:top w:val="nil"/>
              <w:left w:val="nil"/>
              <w:bottom w:val="nil"/>
              <w:right w:val="nil"/>
            </w:tcBorders>
            <w:shd w:val="clear" w:color="auto" w:fill="auto"/>
            <w:tcMar>
              <w:top w:w="15" w:type="dxa"/>
              <w:left w:w="15" w:type="dxa"/>
              <w:right w:w="15" w:type="dxa"/>
            </w:tcMar>
            <w:vAlign w:val="center"/>
          </w:tcPr>
          <w:p w14:paraId="2C28C06E">
            <w:pPr>
              <w:rPr>
                <w:rFonts w:hint="eastAsia" w:ascii="宋体" w:hAnsi="宋体" w:eastAsia="宋体" w:cs="宋体"/>
                <w:i w:val="0"/>
                <w:color w:val="000000"/>
                <w:sz w:val="24"/>
                <w:szCs w:val="24"/>
                <w:u w:val="none"/>
              </w:rPr>
            </w:pPr>
          </w:p>
        </w:tc>
        <w:tc>
          <w:tcPr>
            <w:tcW w:w="954" w:type="dxa"/>
            <w:gridSpan w:val="2"/>
            <w:tcBorders>
              <w:top w:val="nil"/>
              <w:left w:val="nil"/>
              <w:bottom w:val="nil"/>
              <w:right w:val="nil"/>
            </w:tcBorders>
            <w:shd w:val="clear" w:color="auto" w:fill="auto"/>
            <w:tcMar>
              <w:top w:w="15" w:type="dxa"/>
              <w:left w:w="15" w:type="dxa"/>
              <w:right w:w="15" w:type="dxa"/>
            </w:tcMar>
            <w:vAlign w:val="center"/>
          </w:tcPr>
          <w:p w14:paraId="7987A25A">
            <w:pPr>
              <w:rPr>
                <w:rFonts w:hint="eastAsia" w:ascii="宋体" w:hAnsi="宋体" w:eastAsia="宋体" w:cs="宋体"/>
                <w:i w:val="0"/>
                <w:color w:val="000000"/>
                <w:sz w:val="24"/>
                <w:szCs w:val="24"/>
                <w:u w:val="none"/>
              </w:rPr>
            </w:pPr>
          </w:p>
        </w:tc>
        <w:tc>
          <w:tcPr>
            <w:tcW w:w="661" w:type="dxa"/>
            <w:tcBorders>
              <w:top w:val="nil"/>
              <w:left w:val="nil"/>
              <w:bottom w:val="nil"/>
              <w:right w:val="nil"/>
            </w:tcBorders>
            <w:shd w:val="clear" w:color="auto" w:fill="auto"/>
            <w:tcMar>
              <w:top w:w="15" w:type="dxa"/>
              <w:left w:w="15" w:type="dxa"/>
              <w:right w:w="15" w:type="dxa"/>
            </w:tcMar>
            <w:vAlign w:val="center"/>
          </w:tcPr>
          <w:p w14:paraId="6CF49B5A">
            <w:pPr>
              <w:rPr>
                <w:rFonts w:hint="eastAsia" w:ascii="宋体" w:hAnsi="宋体" w:eastAsia="宋体" w:cs="宋体"/>
                <w:i w:val="0"/>
                <w:color w:val="000000"/>
                <w:sz w:val="24"/>
                <w:szCs w:val="24"/>
                <w:u w:val="none"/>
              </w:rPr>
            </w:pPr>
          </w:p>
        </w:tc>
      </w:tr>
      <w:tr w14:paraId="002C6A2B">
        <w:tblPrEx>
          <w:shd w:val="clear" w:color="auto" w:fill="auto"/>
          <w:tblCellMar>
            <w:top w:w="0" w:type="dxa"/>
            <w:left w:w="0" w:type="dxa"/>
            <w:bottom w:w="0" w:type="dxa"/>
            <w:right w:w="0" w:type="dxa"/>
          </w:tblCellMar>
        </w:tblPrEx>
        <w:trPr>
          <w:trHeight w:val="285" w:hRule="atLeast"/>
        </w:trPr>
        <w:tc>
          <w:tcPr>
            <w:tcW w:w="8360" w:type="dxa"/>
            <w:gridSpan w:val="19"/>
            <w:tcBorders>
              <w:top w:val="nil"/>
              <w:left w:val="nil"/>
              <w:bottom w:val="nil"/>
              <w:right w:val="nil"/>
            </w:tcBorders>
            <w:shd w:val="clear" w:color="auto" w:fill="auto"/>
            <w:tcMar>
              <w:top w:w="15" w:type="dxa"/>
              <w:left w:w="15" w:type="dxa"/>
              <w:right w:w="15" w:type="dxa"/>
            </w:tcMar>
            <w:vAlign w:val="center"/>
          </w:tcPr>
          <w:p w14:paraId="561089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编制单位：呼伦贝尔市气象局机关</w:t>
            </w:r>
          </w:p>
        </w:tc>
      </w:tr>
      <w:tr w14:paraId="4B9D404D">
        <w:tblPrEx>
          <w:shd w:val="clear" w:color="auto" w:fill="auto"/>
          <w:tblCellMar>
            <w:top w:w="0" w:type="dxa"/>
            <w:left w:w="0" w:type="dxa"/>
            <w:bottom w:w="0" w:type="dxa"/>
            <w:right w:w="0" w:type="dxa"/>
          </w:tblCellMar>
        </w:tblPrEx>
        <w:trPr>
          <w:trHeight w:val="408" w:hRule="atLeast"/>
        </w:trPr>
        <w:tc>
          <w:tcPr>
            <w:tcW w:w="8360" w:type="dxa"/>
            <w:gridSpan w:val="1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6BB55F">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一、项目基本情况</w:t>
            </w:r>
          </w:p>
        </w:tc>
      </w:tr>
      <w:tr w14:paraId="11023F08">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8E3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项目名称</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DA00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地方气象事业费</w:t>
            </w:r>
          </w:p>
        </w:tc>
      </w:tr>
      <w:tr w14:paraId="250E31C6">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49A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项目负责人</w:t>
            </w:r>
          </w:p>
        </w:tc>
        <w:tc>
          <w:tcPr>
            <w:tcW w:w="3743" w:type="dxa"/>
            <w:gridSpan w:val="9"/>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16E697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刘正会</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AAB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联系电话</w:t>
            </w:r>
          </w:p>
        </w:tc>
        <w:tc>
          <w:tcPr>
            <w:tcW w:w="2537" w:type="dxa"/>
            <w:gridSpan w:val="5"/>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1AF039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8244443</w:t>
            </w:r>
          </w:p>
        </w:tc>
      </w:tr>
      <w:tr w14:paraId="44F6D452">
        <w:tblPrEx>
          <w:shd w:val="clear" w:color="auto" w:fill="auto"/>
          <w:tblCellMar>
            <w:top w:w="0" w:type="dxa"/>
            <w:left w:w="0" w:type="dxa"/>
            <w:bottom w:w="0" w:type="dxa"/>
            <w:right w:w="0" w:type="dxa"/>
          </w:tblCellMar>
        </w:tblPrEx>
        <w:trPr>
          <w:trHeight w:val="540"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77F3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单位财务</w:t>
            </w:r>
          </w:p>
        </w:tc>
        <w:tc>
          <w:tcPr>
            <w:tcW w:w="3743" w:type="dxa"/>
            <w:gridSpan w:val="9"/>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0491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赵薇</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1277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财务联系电话</w:t>
            </w:r>
          </w:p>
        </w:tc>
        <w:tc>
          <w:tcPr>
            <w:tcW w:w="2537"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A5B7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8244443</w:t>
            </w:r>
          </w:p>
        </w:tc>
      </w:tr>
      <w:tr w14:paraId="0C8288A1">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175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项目类别</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1CC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商品和服务支出</w:t>
            </w:r>
          </w:p>
        </w:tc>
      </w:tr>
      <w:tr w14:paraId="074B9FBC">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C91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项目类型</w:t>
            </w:r>
          </w:p>
        </w:tc>
        <w:tc>
          <w:tcPr>
            <w:tcW w:w="3743"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DAC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延续项目</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2306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项目口径</w:t>
            </w:r>
          </w:p>
        </w:tc>
        <w:tc>
          <w:tcPr>
            <w:tcW w:w="2537"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EC6F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经常性</w:t>
            </w:r>
          </w:p>
        </w:tc>
      </w:tr>
      <w:tr w14:paraId="192521F3">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EE1C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项目依据</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2C5EF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部门提出的项目</w:t>
            </w:r>
          </w:p>
        </w:tc>
      </w:tr>
      <w:tr w14:paraId="4D19B91A">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81A5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项目属性</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C9E7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专项资金</w:t>
            </w:r>
          </w:p>
        </w:tc>
      </w:tr>
      <w:tr w14:paraId="01083F1D">
        <w:tblPrEx>
          <w:shd w:val="clear" w:color="auto" w:fill="auto"/>
          <w:tblCellMar>
            <w:top w:w="0" w:type="dxa"/>
            <w:left w:w="0" w:type="dxa"/>
            <w:bottom w:w="0" w:type="dxa"/>
            <w:right w:w="0" w:type="dxa"/>
          </w:tblCellMar>
        </w:tblPrEx>
        <w:trPr>
          <w:trHeight w:val="360"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381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项目计划实施时间</w:t>
            </w:r>
          </w:p>
        </w:tc>
        <w:tc>
          <w:tcPr>
            <w:tcW w:w="6940" w:type="dxa"/>
            <w:gridSpan w:val="16"/>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27EDB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2018-01-01至 2018-12-31</w:t>
            </w:r>
          </w:p>
        </w:tc>
      </w:tr>
      <w:tr w14:paraId="1FD8DF86">
        <w:tblPrEx>
          <w:shd w:val="clear" w:color="auto" w:fill="auto"/>
          <w:tblCellMar>
            <w:top w:w="0" w:type="dxa"/>
            <w:left w:w="0" w:type="dxa"/>
            <w:bottom w:w="0" w:type="dxa"/>
            <w:right w:w="0" w:type="dxa"/>
          </w:tblCellMar>
        </w:tblPrEx>
        <w:trPr>
          <w:trHeight w:val="339"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C65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项目实际实施时间</w:t>
            </w:r>
          </w:p>
        </w:tc>
        <w:tc>
          <w:tcPr>
            <w:tcW w:w="6940" w:type="dxa"/>
            <w:gridSpan w:val="16"/>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A725E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2018-01-01至 2018-12-31</w:t>
            </w:r>
          </w:p>
        </w:tc>
      </w:tr>
      <w:tr w14:paraId="08B24CA0">
        <w:tblPrEx>
          <w:shd w:val="clear" w:color="auto" w:fill="auto"/>
          <w:tblCellMar>
            <w:top w:w="0" w:type="dxa"/>
            <w:left w:w="0" w:type="dxa"/>
            <w:bottom w:w="0" w:type="dxa"/>
            <w:right w:w="0" w:type="dxa"/>
          </w:tblCellMar>
        </w:tblPrEx>
        <w:trPr>
          <w:trHeight w:val="312"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3BB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项目自评价时间</w:t>
            </w:r>
          </w:p>
        </w:tc>
        <w:tc>
          <w:tcPr>
            <w:tcW w:w="6940" w:type="dxa"/>
            <w:gridSpan w:val="16"/>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C63F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2019-05-20至 2019-05-20</w:t>
            </w:r>
          </w:p>
        </w:tc>
      </w:tr>
      <w:tr w14:paraId="79E93B79">
        <w:tblPrEx>
          <w:shd w:val="clear" w:color="auto" w:fill="auto"/>
          <w:tblCellMar>
            <w:top w:w="0" w:type="dxa"/>
            <w:left w:w="0" w:type="dxa"/>
            <w:bottom w:w="0" w:type="dxa"/>
            <w:right w:w="0" w:type="dxa"/>
          </w:tblCellMar>
        </w:tblPrEx>
        <w:trPr>
          <w:trHeight w:val="842"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58B6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项目申请原因（包括设立依据、可行性及必要性）</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B78F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通过绩效评价管理，使呼</w:t>
            </w:r>
          </w:p>
        </w:tc>
      </w:tr>
      <w:tr w14:paraId="17B592E5">
        <w:tblPrEx>
          <w:shd w:val="clear" w:color="auto" w:fill="auto"/>
        </w:tblPrEx>
        <w:trPr>
          <w:trHeight w:val="90"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686D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项目内容</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775C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256个区域自动站等防灾减灾设施运行维护经费160万元（旗市区承担145万元）；人工影响天气运行保障经费200万元；气象预报预警信息发布设施运行维护经费60万元</w:t>
            </w:r>
          </w:p>
        </w:tc>
      </w:tr>
      <w:tr w14:paraId="5249992F">
        <w:tblPrEx>
          <w:shd w:val="clear" w:color="auto" w:fill="auto"/>
          <w:tblCellMar>
            <w:top w:w="0" w:type="dxa"/>
            <w:left w:w="0" w:type="dxa"/>
            <w:bottom w:w="0" w:type="dxa"/>
            <w:right w:w="0" w:type="dxa"/>
          </w:tblCellMar>
        </w:tblPrEx>
        <w:trPr>
          <w:trHeight w:val="40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9410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项目概况</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C724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256个区域自动站等防灾减灾设施运行维护经费160万元（旗市区承担145万元）；人工影响天气运行保障经费200万元；气象预报预警信息发布设施运行维护经费60万元</w:t>
            </w:r>
          </w:p>
        </w:tc>
      </w:tr>
      <w:tr w14:paraId="7EB5880D">
        <w:tblPrEx>
          <w:shd w:val="clear" w:color="auto" w:fill="auto"/>
          <w:tblCellMar>
            <w:top w:w="0" w:type="dxa"/>
            <w:left w:w="0" w:type="dxa"/>
            <w:bottom w:w="0" w:type="dxa"/>
            <w:right w:w="0" w:type="dxa"/>
          </w:tblCellMar>
        </w:tblPrEx>
        <w:trPr>
          <w:trHeight w:val="285" w:hRule="atLeast"/>
        </w:trPr>
        <w:tc>
          <w:tcPr>
            <w:tcW w:w="377"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A5FE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项目绩效目标</w:t>
            </w:r>
          </w:p>
        </w:tc>
        <w:tc>
          <w:tcPr>
            <w:tcW w:w="1043"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319A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总目标完成情况</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9463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达到既定目标</w:t>
            </w:r>
          </w:p>
        </w:tc>
      </w:tr>
      <w:tr w14:paraId="35617EA9">
        <w:tblPrEx>
          <w:shd w:val="clear" w:color="auto" w:fill="auto"/>
          <w:tblCellMar>
            <w:top w:w="0" w:type="dxa"/>
            <w:left w:w="0" w:type="dxa"/>
            <w:bottom w:w="0" w:type="dxa"/>
            <w:right w:w="0" w:type="dxa"/>
          </w:tblCellMar>
        </w:tblPrEx>
        <w:trPr>
          <w:trHeight w:val="54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493692">
            <w:pPr>
              <w:jc w:val="center"/>
              <w:rPr>
                <w:rFonts w:hint="eastAsia" w:ascii="宋体" w:hAnsi="宋体" w:eastAsia="宋体" w:cs="宋体"/>
                <w:i w:val="0"/>
                <w:color w:val="000000"/>
                <w:sz w:val="18"/>
                <w:szCs w:val="18"/>
                <w:u w:val="none"/>
              </w:rPr>
            </w:pPr>
          </w:p>
        </w:tc>
        <w:tc>
          <w:tcPr>
            <w:tcW w:w="1043"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C895D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阶段性目标完成情况</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AD4B0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完成全市整体站网布局改造的规划；完成相关设备的招标采购；完成相关网站数据的建设；完成全部区域站的升级改造工作；完成观测数据传输和质控。 </w:t>
            </w:r>
          </w:p>
        </w:tc>
      </w:tr>
      <w:tr w14:paraId="095218B9">
        <w:tblPrEx>
          <w:shd w:val="clear" w:color="auto" w:fill="auto"/>
          <w:tblCellMar>
            <w:top w:w="0" w:type="dxa"/>
            <w:left w:w="0" w:type="dxa"/>
            <w:bottom w:w="0" w:type="dxa"/>
            <w:right w:w="0" w:type="dxa"/>
          </w:tblCellMar>
        </w:tblPrEx>
        <w:trPr>
          <w:trHeight w:val="500" w:hRule="atLeast"/>
        </w:trPr>
        <w:tc>
          <w:tcPr>
            <w:tcW w:w="377"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D3C2D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阶段性目标完成情况</w:t>
            </w:r>
          </w:p>
        </w:tc>
        <w:tc>
          <w:tcPr>
            <w:tcW w:w="1043"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D4C6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前期准备</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2B86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在全市现有区域站网基础上，从气象为地方经济发展和气象防灾减灾角度出发，对新增和改造的区域气象观测站站点进行规划，以期充分发挥气象监测数据的作用。 </w:t>
            </w:r>
          </w:p>
        </w:tc>
      </w:tr>
      <w:tr w14:paraId="44F44C3E">
        <w:tblPrEx>
          <w:shd w:val="clear" w:color="auto" w:fill="auto"/>
          <w:tblCellMar>
            <w:top w:w="0" w:type="dxa"/>
            <w:left w:w="0" w:type="dxa"/>
            <w:bottom w:w="0" w:type="dxa"/>
            <w:right w:w="0" w:type="dxa"/>
          </w:tblCellMar>
        </w:tblPrEx>
        <w:trPr>
          <w:trHeight w:val="285"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DEBCEC">
            <w:pPr>
              <w:jc w:val="center"/>
              <w:rPr>
                <w:rFonts w:hint="eastAsia" w:ascii="宋体" w:hAnsi="宋体" w:eastAsia="宋体" w:cs="宋体"/>
                <w:i w:val="0"/>
                <w:color w:val="000000"/>
                <w:sz w:val="18"/>
                <w:szCs w:val="18"/>
                <w:u w:val="none"/>
              </w:rPr>
            </w:pPr>
          </w:p>
        </w:tc>
        <w:tc>
          <w:tcPr>
            <w:tcW w:w="1043"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FC73E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组织实施</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51DC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由呼伦贝尔市气象局统一规划，各旗市区气象局配合完成项目实施。 </w:t>
            </w:r>
          </w:p>
        </w:tc>
      </w:tr>
      <w:tr w14:paraId="089624FC">
        <w:tblPrEx>
          <w:shd w:val="clear" w:color="auto" w:fill="auto"/>
          <w:tblCellMar>
            <w:top w:w="0" w:type="dxa"/>
            <w:left w:w="0" w:type="dxa"/>
            <w:bottom w:w="0" w:type="dxa"/>
            <w:right w:w="0" w:type="dxa"/>
          </w:tblCellMar>
        </w:tblPrEx>
        <w:trPr>
          <w:trHeight w:val="1105"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D64461">
            <w:pPr>
              <w:jc w:val="center"/>
              <w:rPr>
                <w:rFonts w:hint="eastAsia" w:ascii="宋体" w:hAnsi="宋体" w:eastAsia="宋体" w:cs="宋体"/>
                <w:i w:val="0"/>
                <w:color w:val="000000"/>
                <w:sz w:val="18"/>
                <w:szCs w:val="18"/>
                <w:u w:val="none"/>
              </w:rPr>
            </w:pPr>
          </w:p>
        </w:tc>
        <w:tc>
          <w:tcPr>
            <w:tcW w:w="1043"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5140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分析评价</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565B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气象观测站网的升级改造，可以提高预报预警的时效性和准确性，对于呼伦贝尔地区农林牧业、旅游、交通等经济发展和气象灾害防御提供了有力的保障。 </w:t>
            </w:r>
          </w:p>
        </w:tc>
      </w:tr>
      <w:tr w14:paraId="2E830A0C">
        <w:tblPrEx>
          <w:shd w:val="clear" w:color="auto" w:fill="auto"/>
          <w:tblCellMar>
            <w:top w:w="0" w:type="dxa"/>
            <w:left w:w="0" w:type="dxa"/>
            <w:bottom w:w="0" w:type="dxa"/>
            <w:right w:w="0" w:type="dxa"/>
          </w:tblCellMar>
        </w:tblPrEx>
        <w:trPr>
          <w:trHeight w:val="285" w:hRule="atLeast"/>
        </w:trPr>
        <w:tc>
          <w:tcPr>
            <w:tcW w:w="8360" w:type="dxa"/>
            <w:gridSpan w:val="1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E01A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二、项目资金情况</w:t>
            </w:r>
          </w:p>
        </w:tc>
      </w:tr>
      <w:tr w14:paraId="19CF9E70">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227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申请资金(万元)</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8D827">
            <w:pPr>
              <w:jc w:val="center"/>
              <w:rPr>
                <w:rFonts w:hint="eastAsia" w:ascii="宋体" w:hAnsi="宋体" w:eastAsia="宋体" w:cs="宋体"/>
                <w:i w:val="0"/>
                <w:color w:val="000000"/>
                <w:sz w:val="18"/>
                <w:szCs w:val="18"/>
                <w:u w:val="none"/>
              </w:rPr>
            </w:pPr>
          </w:p>
        </w:tc>
      </w:tr>
      <w:tr w14:paraId="3DE7F36E">
        <w:tblPrEx>
          <w:shd w:val="clear" w:color="auto" w:fill="auto"/>
          <w:tblCellMar>
            <w:top w:w="0" w:type="dxa"/>
            <w:left w:w="0" w:type="dxa"/>
            <w:bottom w:w="0" w:type="dxa"/>
            <w:right w:w="0" w:type="dxa"/>
          </w:tblCellMar>
        </w:tblPrEx>
        <w:trPr>
          <w:trHeight w:val="285" w:hRule="atLeast"/>
        </w:trPr>
        <w:tc>
          <w:tcPr>
            <w:tcW w:w="1420" w:type="dxa"/>
            <w:gridSpan w:val="3"/>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CA7F2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项目资金来源</w:t>
            </w:r>
          </w:p>
        </w:tc>
        <w:tc>
          <w:tcPr>
            <w:tcW w:w="183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54E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资金来源</w:t>
            </w:r>
          </w:p>
        </w:tc>
        <w:tc>
          <w:tcPr>
            <w:tcW w:w="6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32E8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w:t>
            </w:r>
          </w:p>
        </w:tc>
        <w:tc>
          <w:tcPr>
            <w:tcW w:w="69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4502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当年安排资金</w:t>
            </w:r>
          </w:p>
        </w:tc>
        <w:tc>
          <w:tcPr>
            <w:tcW w:w="1230"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FAAD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实际到位</w:t>
            </w:r>
          </w:p>
        </w:tc>
        <w:tc>
          <w:tcPr>
            <w:tcW w:w="187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8AA5F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实际支出</w:t>
            </w: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DBA6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结转结余金额</w:t>
            </w:r>
          </w:p>
        </w:tc>
      </w:tr>
      <w:tr w14:paraId="14424260">
        <w:tblPrEx>
          <w:shd w:val="clear" w:color="auto" w:fill="auto"/>
          <w:tblCellMar>
            <w:top w:w="0" w:type="dxa"/>
            <w:left w:w="0" w:type="dxa"/>
            <w:bottom w:w="0" w:type="dxa"/>
            <w:right w:w="0" w:type="dxa"/>
          </w:tblCellMar>
        </w:tblPrEx>
        <w:trPr>
          <w:trHeight w:val="565"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90C5F4B">
            <w:pPr>
              <w:jc w:val="center"/>
              <w:rPr>
                <w:rFonts w:hint="eastAsia" w:ascii="宋体" w:hAnsi="宋体" w:eastAsia="宋体" w:cs="宋体"/>
                <w:i w:val="0"/>
                <w:color w:val="000000"/>
                <w:sz w:val="18"/>
                <w:szCs w:val="18"/>
                <w:u w:val="none"/>
              </w:rPr>
            </w:pPr>
          </w:p>
        </w:tc>
        <w:tc>
          <w:tcPr>
            <w:tcW w:w="183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27DF10">
            <w:pPr>
              <w:jc w:val="center"/>
              <w:rPr>
                <w:rFonts w:hint="eastAsia" w:ascii="宋体" w:hAnsi="宋体" w:eastAsia="宋体" w:cs="宋体"/>
                <w:i w:val="0"/>
                <w:color w:val="000000"/>
                <w:sz w:val="18"/>
                <w:szCs w:val="18"/>
                <w:u w:val="none"/>
              </w:rPr>
            </w:pPr>
          </w:p>
        </w:tc>
        <w:tc>
          <w:tcPr>
            <w:tcW w:w="6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589F27">
            <w:pPr>
              <w:jc w:val="center"/>
              <w:rPr>
                <w:rFonts w:hint="eastAsia" w:ascii="宋体" w:hAnsi="宋体" w:eastAsia="宋体" w:cs="宋体"/>
                <w:i w:val="0"/>
                <w:color w:val="000000"/>
                <w:sz w:val="18"/>
                <w:szCs w:val="18"/>
                <w:u w:val="none"/>
              </w:rPr>
            </w:pPr>
          </w:p>
        </w:tc>
        <w:tc>
          <w:tcPr>
            <w:tcW w:w="69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0EC72">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1FB6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D86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到位率（%）</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4FFB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E9D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支出实现率（%）</w:t>
            </w: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AFBF6">
            <w:pPr>
              <w:jc w:val="center"/>
              <w:rPr>
                <w:rFonts w:hint="eastAsia" w:ascii="宋体" w:hAnsi="宋体" w:eastAsia="宋体" w:cs="宋体"/>
                <w:i w:val="0"/>
                <w:color w:val="000000"/>
                <w:sz w:val="18"/>
                <w:szCs w:val="18"/>
                <w:u w:val="none"/>
              </w:rPr>
            </w:pPr>
          </w:p>
        </w:tc>
      </w:tr>
      <w:tr w14:paraId="7BA35CBB">
        <w:tblPrEx>
          <w:shd w:val="clear" w:color="auto" w:fill="auto"/>
          <w:tblCellMar>
            <w:top w:w="0" w:type="dxa"/>
            <w:left w:w="0" w:type="dxa"/>
            <w:bottom w:w="0" w:type="dxa"/>
            <w:right w:w="0" w:type="dxa"/>
          </w:tblCellMar>
        </w:tblPrEx>
        <w:trPr>
          <w:trHeight w:val="265"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B34018">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nil"/>
              <w:bottom w:val="single" w:color="000000" w:sz="4" w:space="0"/>
              <w:right w:val="single" w:color="000000" w:sz="4" w:space="0"/>
            </w:tcBorders>
            <w:shd w:val="clear" w:color="auto" w:fill="FFFFFF"/>
            <w:tcMar>
              <w:top w:w="15" w:type="dxa"/>
              <w:left w:w="15" w:type="dxa"/>
              <w:right w:w="15" w:type="dxa"/>
            </w:tcMar>
            <w:vAlign w:val="center"/>
          </w:tcPr>
          <w:p w14:paraId="5F76E4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2872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D4C5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3755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840B6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05C9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322E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5F1782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DDA5ACF">
        <w:tblPrEx>
          <w:shd w:val="clear" w:color="auto" w:fill="auto"/>
          <w:tblCellMar>
            <w:top w:w="0" w:type="dxa"/>
            <w:left w:w="0" w:type="dxa"/>
            <w:bottom w:w="0" w:type="dxa"/>
            <w:right w:w="0" w:type="dxa"/>
          </w:tblCellMar>
        </w:tblPrEx>
        <w:trPr>
          <w:trHeight w:val="385"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B82873">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E0226A">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公共财政预算管理资金</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2DAE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0C5D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805A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30854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0B1A2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3D693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CF72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7F7C9CF">
        <w:tblPrEx>
          <w:shd w:val="clear" w:color="auto" w:fill="auto"/>
          <w:tblCellMar>
            <w:top w:w="0" w:type="dxa"/>
            <w:left w:w="0" w:type="dxa"/>
            <w:bottom w:w="0" w:type="dxa"/>
            <w:right w:w="0" w:type="dxa"/>
          </w:tblCellMar>
        </w:tblPrEx>
        <w:trPr>
          <w:trHeight w:val="355"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42C0B7A">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CA390D4">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政府性资金预算资金</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FD2A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B644D4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BE2EE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55B5A4">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29BCD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BBA8BF">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47D6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AF6FB22">
        <w:tblPrEx>
          <w:shd w:val="clear" w:color="auto" w:fill="auto"/>
          <w:tblCellMar>
            <w:top w:w="0" w:type="dxa"/>
            <w:left w:w="0" w:type="dxa"/>
            <w:bottom w:w="0" w:type="dxa"/>
            <w:right w:w="0" w:type="dxa"/>
          </w:tblCellMar>
        </w:tblPrEx>
        <w:trPr>
          <w:trHeight w:val="370"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D2F2CE">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9D65D11">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国有资本经营预算资金</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CC59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A7AC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54ABE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C7CEDA">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C7E93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CB60A6">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844D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D8785E7">
        <w:tblPrEx>
          <w:shd w:val="clear" w:color="auto" w:fill="auto"/>
          <w:tblCellMar>
            <w:top w:w="0" w:type="dxa"/>
            <w:left w:w="0" w:type="dxa"/>
            <w:bottom w:w="0" w:type="dxa"/>
            <w:right w:w="0" w:type="dxa"/>
          </w:tblCellMar>
        </w:tblPrEx>
        <w:trPr>
          <w:trHeight w:val="400"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E1D6C9">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A921F4F">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社会保险基本预算资金</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A30A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DBD89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27F4B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A7CACA">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AF38F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9A71E1">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4494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018132E">
        <w:tblPrEx>
          <w:shd w:val="clear" w:color="auto" w:fill="auto"/>
          <w:tblCellMar>
            <w:top w:w="0" w:type="dxa"/>
            <w:left w:w="0" w:type="dxa"/>
            <w:bottom w:w="0" w:type="dxa"/>
            <w:right w:w="0" w:type="dxa"/>
          </w:tblCellMar>
        </w:tblPrEx>
        <w:trPr>
          <w:trHeight w:val="280"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FFF33B">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5FA71BB">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其他资金</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0CC7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1AB7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2C96F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C3DEE3">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FAC26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83E6B6">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21B5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442CE90">
        <w:tblPrEx>
          <w:shd w:val="clear" w:color="auto" w:fill="auto"/>
          <w:tblCellMar>
            <w:top w:w="0" w:type="dxa"/>
            <w:left w:w="0" w:type="dxa"/>
            <w:bottom w:w="0" w:type="dxa"/>
            <w:right w:w="0" w:type="dxa"/>
          </w:tblCellMar>
        </w:tblPrEx>
        <w:trPr>
          <w:trHeight w:val="310"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3076FE">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1CF2651">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18"/>
                <w:szCs w:val="18"/>
                <w:u w:val="none"/>
                <w:lang w:val="en-US" w:eastAsia="zh-CN" w:bidi="ar"/>
              </w:rPr>
              <w:t>旗市区拨款(本级)</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C0CEC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501DE5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2C63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07140C">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DE4E2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AA09E8">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109C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A5E11FB">
        <w:tblPrEx>
          <w:shd w:val="clear" w:color="auto" w:fill="auto"/>
          <w:tblCellMar>
            <w:top w:w="0" w:type="dxa"/>
            <w:left w:w="0" w:type="dxa"/>
            <w:bottom w:w="0" w:type="dxa"/>
            <w:right w:w="0" w:type="dxa"/>
          </w:tblCellMar>
        </w:tblPrEx>
        <w:trPr>
          <w:trHeight w:val="175"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6B00766">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50159A8">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中央拨款</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7ED1C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FB6F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4D7B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F77B8D">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E04D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2348F4">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6B1E27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37449A3">
        <w:tblPrEx>
          <w:shd w:val="clear" w:color="auto" w:fill="auto"/>
          <w:tblCellMar>
            <w:top w:w="0" w:type="dxa"/>
            <w:left w:w="0" w:type="dxa"/>
            <w:bottom w:w="0" w:type="dxa"/>
            <w:right w:w="0" w:type="dxa"/>
          </w:tblCellMar>
        </w:tblPrEx>
        <w:trPr>
          <w:trHeight w:val="265"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2BFC38">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D2695E1">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自治区拨款</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72F14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88C0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2E697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AB6869">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A03D7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14AFA9">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D567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6E3CF30">
        <w:tblPrEx>
          <w:shd w:val="clear" w:color="auto" w:fill="auto"/>
          <w:tblCellMar>
            <w:top w:w="0" w:type="dxa"/>
            <w:left w:w="0" w:type="dxa"/>
            <w:bottom w:w="0" w:type="dxa"/>
            <w:right w:w="0" w:type="dxa"/>
          </w:tblCellMar>
        </w:tblPrEx>
        <w:trPr>
          <w:trHeight w:val="400" w:hRule="atLeast"/>
        </w:trPr>
        <w:tc>
          <w:tcPr>
            <w:tcW w:w="1420"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EB5B14">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20C3431">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其他拨款(非本级)</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077B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9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46DF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C4FCA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2A0760">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B5B8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DFFC36">
            <w:pPr>
              <w:jc w:val="center"/>
              <w:rPr>
                <w:rFonts w:hint="eastAsia" w:ascii="宋体" w:hAnsi="宋体" w:eastAsia="宋体" w:cs="宋体"/>
                <w:i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2ADE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92201F1">
        <w:tblPrEx>
          <w:shd w:val="clear" w:color="auto" w:fill="auto"/>
          <w:tblCellMar>
            <w:top w:w="0" w:type="dxa"/>
            <w:left w:w="0" w:type="dxa"/>
            <w:bottom w:w="0" w:type="dxa"/>
            <w:right w:w="0" w:type="dxa"/>
          </w:tblCellMar>
        </w:tblPrEx>
        <w:trPr>
          <w:trHeight w:val="400" w:hRule="atLeast"/>
        </w:trPr>
        <w:tc>
          <w:tcPr>
            <w:tcW w:w="1420"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D702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资金支出情况（万元)</w:t>
            </w:r>
          </w:p>
        </w:tc>
        <w:tc>
          <w:tcPr>
            <w:tcW w:w="2482" w:type="dxa"/>
            <w:gridSpan w:val="5"/>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D25DE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支出明细内容</w:t>
            </w:r>
          </w:p>
        </w:tc>
        <w:tc>
          <w:tcPr>
            <w:tcW w:w="1261"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AEC8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型号</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B2534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计量单位</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D8D7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BD47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单价</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07FE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总额</w:t>
            </w:r>
          </w:p>
        </w:tc>
      </w:tr>
      <w:tr w14:paraId="177A4DF9">
        <w:tblPrEx>
          <w:shd w:val="clear" w:color="auto" w:fill="auto"/>
          <w:tblCellMar>
            <w:top w:w="0" w:type="dxa"/>
            <w:left w:w="0" w:type="dxa"/>
            <w:bottom w:w="0" w:type="dxa"/>
            <w:right w:w="0" w:type="dxa"/>
          </w:tblCellMar>
        </w:tblPrEx>
        <w:trPr>
          <w:trHeight w:val="90" w:hRule="atLeast"/>
        </w:trPr>
        <w:tc>
          <w:tcPr>
            <w:tcW w:w="142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DC4CAB">
            <w:pPr>
              <w:jc w:val="left"/>
              <w:rPr>
                <w:rFonts w:hint="eastAsia" w:ascii="宋体" w:hAnsi="宋体" w:eastAsia="宋体" w:cs="宋体"/>
                <w:i w:val="0"/>
                <w:color w:val="000000"/>
                <w:sz w:val="18"/>
                <w:szCs w:val="18"/>
                <w:u w:val="none"/>
              </w:rPr>
            </w:pPr>
          </w:p>
        </w:tc>
        <w:tc>
          <w:tcPr>
            <w:tcW w:w="2482"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6D399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261"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98F218">
            <w:pPr>
              <w:jc w:val="center"/>
              <w:rPr>
                <w:rFonts w:hint="eastAsia" w:ascii="宋体" w:hAnsi="宋体" w:eastAsia="宋体" w:cs="宋体"/>
                <w:i w:val="0"/>
                <w:color w:val="000000"/>
                <w:sz w:val="18"/>
                <w:szCs w:val="18"/>
                <w:u w:val="none"/>
              </w:rPr>
            </w:pP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F29AEA">
            <w:pPr>
              <w:jc w:val="center"/>
              <w:rPr>
                <w:rFonts w:hint="eastAsia" w:ascii="宋体" w:hAnsi="宋体" w:eastAsia="宋体" w:cs="宋体"/>
                <w:i w:val="0"/>
                <w:color w:val="000000"/>
                <w:sz w:val="18"/>
                <w:szCs w:val="18"/>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37609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AD8DB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579A8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r>
      <w:tr w14:paraId="5B0EF1DF">
        <w:tblPrEx>
          <w:shd w:val="clear" w:color="auto" w:fill="auto"/>
          <w:tblCellMar>
            <w:top w:w="0" w:type="dxa"/>
            <w:left w:w="0" w:type="dxa"/>
            <w:bottom w:w="0" w:type="dxa"/>
            <w:right w:w="0" w:type="dxa"/>
          </w:tblCellMar>
        </w:tblPrEx>
        <w:trPr>
          <w:trHeight w:val="330" w:hRule="atLeast"/>
        </w:trPr>
        <w:tc>
          <w:tcPr>
            <w:tcW w:w="142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0479ED">
            <w:pPr>
              <w:jc w:val="left"/>
              <w:rPr>
                <w:rFonts w:hint="eastAsia" w:ascii="宋体" w:hAnsi="宋体" w:eastAsia="宋体" w:cs="宋体"/>
                <w:i w:val="0"/>
                <w:color w:val="000000"/>
                <w:sz w:val="18"/>
                <w:szCs w:val="18"/>
                <w:u w:val="none"/>
              </w:rPr>
            </w:pPr>
          </w:p>
        </w:tc>
        <w:tc>
          <w:tcPr>
            <w:tcW w:w="2482"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FA0A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地方气象事业费</w:t>
            </w:r>
          </w:p>
        </w:tc>
        <w:tc>
          <w:tcPr>
            <w:tcW w:w="1261"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1B40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66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0207A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95D6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4D5FF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7BDDE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r>
      <w:tr w14:paraId="45240A66">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201A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资金管理情况分析</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71DC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项目资金使用符合《呼伦贝尔市气象局地方经费管理办法》</w:t>
            </w:r>
          </w:p>
        </w:tc>
      </w:tr>
      <w:tr w14:paraId="56F3EC96">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2BD6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备注</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2F5E55F">
            <w:pPr>
              <w:jc w:val="left"/>
              <w:rPr>
                <w:rFonts w:hint="eastAsia" w:ascii="宋体" w:hAnsi="宋体" w:eastAsia="宋体" w:cs="宋体"/>
                <w:i w:val="0"/>
                <w:color w:val="000000"/>
                <w:sz w:val="18"/>
                <w:szCs w:val="18"/>
                <w:u w:val="none"/>
              </w:rPr>
            </w:pPr>
          </w:p>
        </w:tc>
      </w:tr>
      <w:tr w14:paraId="74AEF534">
        <w:tblPrEx>
          <w:shd w:val="clear" w:color="auto" w:fill="auto"/>
          <w:tblCellMar>
            <w:top w:w="0" w:type="dxa"/>
            <w:left w:w="0" w:type="dxa"/>
            <w:bottom w:w="0" w:type="dxa"/>
            <w:right w:w="0" w:type="dxa"/>
          </w:tblCellMar>
        </w:tblPrEx>
        <w:trPr>
          <w:trHeight w:val="56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3D2E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项目资金来源（全口径）</w:t>
            </w:r>
          </w:p>
        </w:tc>
        <w:tc>
          <w:tcPr>
            <w:tcW w:w="4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AD102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34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083EB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w:t>
            </w:r>
          </w:p>
        </w:tc>
        <w:tc>
          <w:tcPr>
            <w:tcW w:w="65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F109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中央拨款</w:t>
            </w:r>
          </w:p>
        </w:tc>
        <w:tc>
          <w:tcPr>
            <w:tcW w:w="31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44AD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792"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D5DD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自治区拨款</w:t>
            </w:r>
          </w:p>
        </w:tc>
        <w:tc>
          <w:tcPr>
            <w:tcW w:w="443"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F0A6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577"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2D806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市本级拨款</w:t>
            </w:r>
          </w:p>
        </w:tc>
        <w:tc>
          <w:tcPr>
            <w:tcW w:w="72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20DB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420.00</w:t>
            </w:r>
          </w:p>
        </w:tc>
        <w:tc>
          <w:tcPr>
            <w:tcW w:w="954"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93FC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其他（非本级）</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CFBC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r>
      <w:tr w14:paraId="73E4FCAA">
        <w:tblPrEx>
          <w:shd w:val="clear" w:color="auto" w:fill="auto"/>
          <w:tblCellMar>
            <w:top w:w="0" w:type="dxa"/>
            <w:left w:w="0" w:type="dxa"/>
            <w:bottom w:w="0" w:type="dxa"/>
            <w:right w:w="0" w:type="dxa"/>
          </w:tblCellMar>
        </w:tblPrEx>
        <w:trPr>
          <w:trHeight w:val="285" w:hRule="atLeast"/>
        </w:trPr>
        <w:tc>
          <w:tcPr>
            <w:tcW w:w="8360" w:type="dxa"/>
            <w:gridSpan w:val="19"/>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5255F131">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三、绩效目标情况</w:t>
            </w:r>
          </w:p>
        </w:tc>
      </w:tr>
      <w:tr w14:paraId="0E794FDF">
        <w:tblPrEx>
          <w:shd w:val="clear" w:color="auto" w:fill="auto"/>
          <w:tblCellMar>
            <w:top w:w="0" w:type="dxa"/>
            <w:left w:w="0" w:type="dxa"/>
            <w:bottom w:w="0" w:type="dxa"/>
            <w:right w:w="0" w:type="dxa"/>
          </w:tblCellMar>
        </w:tblPrEx>
        <w:trPr>
          <w:trHeight w:val="450" w:hRule="atLeast"/>
        </w:trPr>
        <w:tc>
          <w:tcPr>
            <w:tcW w:w="37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F0FF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一级指标</w:t>
            </w:r>
          </w:p>
        </w:tc>
        <w:tc>
          <w:tcPr>
            <w:tcW w:w="31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5A6EE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二级指标</w:t>
            </w:r>
          </w:p>
        </w:tc>
        <w:tc>
          <w:tcPr>
            <w:tcW w:w="72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5E8B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三级指标</w:t>
            </w:r>
          </w:p>
        </w:tc>
        <w:tc>
          <w:tcPr>
            <w:tcW w:w="4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E3C08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权重</w:t>
            </w:r>
          </w:p>
        </w:tc>
        <w:tc>
          <w:tcPr>
            <w:tcW w:w="56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FF6E8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c>
          <w:tcPr>
            <w:tcW w:w="1432"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700E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得分(理由)依据 </w:t>
            </w:r>
          </w:p>
        </w:tc>
        <w:tc>
          <w:tcPr>
            <w:tcW w:w="1103"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49B4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预期目标</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A44C0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实际结果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7F48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指标说明</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14FB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评分标准</w:t>
            </w:r>
          </w:p>
        </w:tc>
      </w:tr>
      <w:tr w14:paraId="7CCE6149">
        <w:tblPrEx>
          <w:shd w:val="clear" w:color="auto" w:fill="auto"/>
          <w:tblCellMar>
            <w:top w:w="0" w:type="dxa"/>
            <w:left w:w="0" w:type="dxa"/>
            <w:bottom w:w="0" w:type="dxa"/>
            <w:right w:w="0" w:type="dxa"/>
          </w:tblCellMar>
        </w:tblPrEx>
        <w:trPr>
          <w:trHeight w:val="1800" w:hRule="atLeast"/>
        </w:trPr>
        <w:tc>
          <w:tcPr>
            <w:tcW w:w="3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9419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投入</w:t>
            </w:r>
          </w:p>
        </w:tc>
        <w:tc>
          <w:tcPr>
            <w:tcW w:w="31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8B78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项目立项</w:t>
            </w: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8DE3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项目立项规范性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4F8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57BE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1A2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项目申报符合流程，手续健全。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FD11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符合立项要求</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756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0FE1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评价要点：①项目是否按照规定的程序申请设立；②所提交的文件、材料是否符合相关要求；③事前是否已经过必要的可行性研究、专家论证、风险评估、集体决策等</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BE4DF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项目的申请、设立过程是否符合相关要求，用以反映和考核项目立项的规范情况</w:t>
            </w:r>
          </w:p>
        </w:tc>
      </w:tr>
      <w:tr w14:paraId="5C7F2412">
        <w:tblPrEx>
          <w:shd w:val="clear" w:color="auto" w:fill="auto"/>
          <w:tblCellMar>
            <w:top w:w="0" w:type="dxa"/>
            <w:left w:w="0" w:type="dxa"/>
            <w:bottom w:w="0" w:type="dxa"/>
            <w:right w:w="0" w:type="dxa"/>
          </w:tblCellMar>
        </w:tblPrEx>
        <w:trPr>
          <w:trHeight w:val="490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9C74E">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B04D78">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346B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绩效目标合理性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DD7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F25E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9DB3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绩效指标设置符合国家相关法律及地方法规，指标设置与项目密切相关，项目预期产出效益和效果是否符合正常的业绩水平。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5D68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按照中华人民共和国国务院令《气象设施和气象探测环境保护条例》，中国气象局《区域气象观测站建设指导意见》（修订）、《国家级无人自动气候站建设技术要求》、《地面气象观测场规范化建设图册》、《新型自动气象（气候）站功能需求书（修订版）》、GB/T 31162-2014 地面气象观测场（室）防雷技术规范、《气象探测环境保护规范  地面气象观测站》、《气象设施和气象探测环境保护条例》，《呼伦贝尔市区域气象观测站建设标准（试行）》。项目预期产出效益和效果符合正常的业绩水平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B23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7566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 ①是否符合国家相关法律法规、国民经济发展规划和党委政府决策； ②是否与项目实施单位或委托单位职责密切相关； ③项目是否为促进事业发展所必需； ④项目预期产出效益和效果是否符合正常的业绩水平。</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7106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项目所设定的绩效目标是否依据充分，是否符合客观实际，用以反映和考核项目绩效目标与项目实施的相符情况</w:t>
            </w:r>
          </w:p>
        </w:tc>
      </w:tr>
      <w:tr w14:paraId="67B10912">
        <w:tblPrEx>
          <w:shd w:val="clear" w:color="auto" w:fill="auto"/>
          <w:tblCellMar>
            <w:top w:w="0" w:type="dxa"/>
            <w:left w:w="0" w:type="dxa"/>
            <w:bottom w:w="0" w:type="dxa"/>
            <w:right w:w="0" w:type="dxa"/>
          </w:tblCellMar>
        </w:tblPrEx>
        <w:trPr>
          <w:trHeight w:val="204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D3150">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EAE1A">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765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绩效指标明确性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8390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E66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0659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数量、效益、满意度指标均已细化。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28C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与项目年度任务数或计划数相对应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958C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EF42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 ①是否将项目绩效目标细化分解为具体的绩效指标； ②是否通过清晰、可衡量的指标值予以体现； ③是否与项目年度任务数或计划数相对应； ④是否与预算确定的项目投资额或资金量相匹配。</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15B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依据绩效目标设定的绩效指标是否清晰、细化、可衡量等，用以反映和考核项目绩效目标的明细化情况</w:t>
            </w:r>
          </w:p>
        </w:tc>
      </w:tr>
      <w:tr w14:paraId="20A0C1C4">
        <w:tblPrEx>
          <w:shd w:val="clear" w:color="auto" w:fill="auto"/>
          <w:tblCellMar>
            <w:top w:w="0" w:type="dxa"/>
            <w:left w:w="0" w:type="dxa"/>
            <w:bottom w:w="0" w:type="dxa"/>
            <w:right w:w="0" w:type="dxa"/>
          </w:tblCellMar>
        </w:tblPrEx>
        <w:trPr>
          <w:trHeight w:val="152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42CD4">
            <w:pPr>
              <w:jc w:val="center"/>
              <w:rPr>
                <w:rFonts w:hint="eastAsia" w:ascii="宋体" w:hAnsi="宋体" w:eastAsia="宋体" w:cs="宋体"/>
                <w:i w:val="0"/>
                <w:color w:val="000000"/>
                <w:sz w:val="18"/>
                <w:szCs w:val="18"/>
                <w:u w:val="none"/>
              </w:rPr>
            </w:pPr>
          </w:p>
        </w:tc>
        <w:tc>
          <w:tcPr>
            <w:tcW w:w="31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AE0B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资金落实</w:t>
            </w: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697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资金到位率</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CE30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549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AC8F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资金到位率100%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EFE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资金申请及时，支出合规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DC0C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DD0B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资金到位率=（实际到位资金/计划投入资金）×100%。100%得4分，90%以上得3分，80%以上得1分，低于80%得0分</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BBF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实际到位资金与计划投入资金的比率，用以反映和考核资金落实情况对项目实施的总体保障程度</w:t>
            </w:r>
          </w:p>
        </w:tc>
      </w:tr>
      <w:tr w14:paraId="6B682CBD">
        <w:tblPrEx>
          <w:shd w:val="clear" w:color="auto" w:fill="auto"/>
          <w:tblCellMar>
            <w:top w:w="0" w:type="dxa"/>
            <w:left w:w="0" w:type="dxa"/>
            <w:bottom w:w="0" w:type="dxa"/>
            <w:right w:w="0" w:type="dxa"/>
          </w:tblCellMar>
        </w:tblPrEx>
        <w:trPr>
          <w:trHeight w:val="138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BB087">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77CFF">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2832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到位及时率</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CCB8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1D6B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F9F5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到位及时率100%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72E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资金到位及时，支出合规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0870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0B20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到位及时率=（及时到位资金/应到位资金）×100%。100%得3分，90%以上得2分，80%以上得1分，低于80%得0分</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019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及时到位资金与应到位资金的比率，用以反映和考核项目资金落实的及时性程度</w:t>
            </w:r>
          </w:p>
        </w:tc>
      </w:tr>
      <w:tr w14:paraId="33A52241">
        <w:tblPrEx>
          <w:shd w:val="clear" w:color="auto" w:fill="auto"/>
          <w:tblCellMar>
            <w:top w:w="0" w:type="dxa"/>
            <w:left w:w="0" w:type="dxa"/>
            <w:bottom w:w="0" w:type="dxa"/>
            <w:right w:w="0" w:type="dxa"/>
          </w:tblCellMar>
        </w:tblPrEx>
        <w:trPr>
          <w:trHeight w:val="1140" w:hRule="atLeast"/>
        </w:trPr>
        <w:tc>
          <w:tcPr>
            <w:tcW w:w="3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F33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过程</w:t>
            </w:r>
          </w:p>
        </w:tc>
        <w:tc>
          <w:tcPr>
            <w:tcW w:w="31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777A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财务管理</w:t>
            </w: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FD4F5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资金使用率</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A7A4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7257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0E2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资金使用率为100%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0626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项目资金全部用于气象观测站网升级改造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CB67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86B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资金使用率=[（实际支付资金+预留保证金）/实际到位资金]×100%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4856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主要反映项目资金的使用情况</w:t>
            </w:r>
          </w:p>
        </w:tc>
      </w:tr>
      <w:tr w14:paraId="11D73308">
        <w:tblPrEx>
          <w:shd w:val="clear" w:color="auto" w:fill="auto"/>
          <w:tblCellMar>
            <w:top w:w="0" w:type="dxa"/>
            <w:left w:w="0" w:type="dxa"/>
            <w:bottom w:w="0" w:type="dxa"/>
            <w:right w:w="0" w:type="dxa"/>
          </w:tblCellMar>
        </w:tblPrEx>
        <w:trPr>
          <w:trHeight w:val="35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999D5">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BFC1D">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D104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资金使用合规性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F21E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5366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0016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支出符合国家财经法规和财务管理制度以及有关专项资金管理办法的规定；资金的拨付有完整的审批程序和手续；经过评估认证；符合项目预算批复或合同规定的用途；无截留、挤占、挪用、虚列支出等情况。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9F1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项目支出符合《呼伦贝尔市气象部门预算管理暂行办法》、《呼伦贝尔市气象局地方经费管理办法（试行）》的要求。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CB5E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23D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符合国家财经法规和财务管理制度以及有关专项资金管理办法的规定；②资金的拨付是否有完整的审批程序和手续；③项目的重大开支是否经过评估认证；④是否符合项目预算批复或合同规定的用途；⑤是否存在截留、挤占、挪用、虚列支出等情况。满分5分，发现一条违规操作扣1分，扣完为止</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1BE4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项目资金使用是否符合相关的财务管理制度规定，用以反映和考核项目资金的规范运行情况</w:t>
            </w:r>
          </w:p>
        </w:tc>
      </w:tr>
      <w:tr w14:paraId="10E5D125">
        <w:tblPrEx>
          <w:shd w:val="clear" w:color="auto" w:fill="auto"/>
          <w:tblCellMar>
            <w:top w:w="0" w:type="dxa"/>
            <w:left w:w="0" w:type="dxa"/>
            <w:bottom w:w="0" w:type="dxa"/>
            <w:right w:w="0" w:type="dxa"/>
          </w:tblCellMar>
        </w:tblPrEx>
        <w:trPr>
          <w:trHeight w:val="146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A0665">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DD530">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667C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财务监控有效性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872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3386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5733A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已制定或具有相应的监控机制；采取了相应的财务检查等必要的监控措施或手段。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BE620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项目支出符合《呼伦贝尔市气象部门预算管理暂行办法》、《呼伦贝尔市气象局地方经费管理办法（试行）》的要求。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1144A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094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评价要点：①是否已制定或具有相应的监控机制；②是否采取了相应的财务检查等必要的监控措施或手段。满足一项得1分，不满足0分</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CA20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项目实施单位是否为保障资金的安全、规范运行而采取了必要的监控措施，用以反映和考核项目实施单位对资金运行的控制情况</w:t>
            </w:r>
          </w:p>
        </w:tc>
      </w:tr>
      <w:tr w14:paraId="3CFBE9AA">
        <w:tblPrEx>
          <w:shd w:val="clear" w:color="auto" w:fill="auto"/>
          <w:tblCellMar>
            <w:top w:w="0" w:type="dxa"/>
            <w:left w:w="0" w:type="dxa"/>
            <w:bottom w:w="0" w:type="dxa"/>
            <w:right w:w="0" w:type="dxa"/>
          </w:tblCellMar>
        </w:tblPrEx>
        <w:trPr>
          <w:trHeight w:val="158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35FD7">
            <w:pPr>
              <w:jc w:val="center"/>
              <w:rPr>
                <w:rFonts w:hint="eastAsia" w:ascii="宋体" w:hAnsi="宋体" w:eastAsia="宋体" w:cs="宋体"/>
                <w:i w:val="0"/>
                <w:color w:val="000000"/>
                <w:sz w:val="18"/>
                <w:szCs w:val="18"/>
                <w:u w:val="none"/>
              </w:rPr>
            </w:pPr>
          </w:p>
        </w:tc>
        <w:tc>
          <w:tcPr>
            <w:tcW w:w="31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30C9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业务管理</w:t>
            </w: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C679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管理制度健全性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EE64A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D534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770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已具有相关业务管理制度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F138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业务管理制度合法、合规、完整，符合《区域气象观测站建设指导意见》（修订）、《国家级无人自动气候站建设技术要求》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47F2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2484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评价要点：①是否已制定或具有相应的业务管理制度；②业务管理制度是否合法、合规、完整。。满足一项得2分</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454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项目实施单位的业务管理制度是否健全，用以反映和考核业务管理制度对项目顺利实施的保障情况</w:t>
            </w:r>
          </w:p>
        </w:tc>
      </w:tr>
      <w:tr w14:paraId="7BB306C9">
        <w:tblPrEx>
          <w:shd w:val="clear" w:color="auto" w:fill="auto"/>
          <w:tblCellMar>
            <w:top w:w="0" w:type="dxa"/>
            <w:left w:w="0" w:type="dxa"/>
            <w:bottom w:w="0" w:type="dxa"/>
            <w:right w:w="0" w:type="dxa"/>
          </w:tblCellMar>
        </w:tblPrEx>
        <w:trPr>
          <w:trHeight w:val="440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FA3EB">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EF620">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204C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制度执行有效性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9734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2559D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4136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已有业务管理制度切实可行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0C64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遵守《气象设施和气象探测环境保护条例》，中国气象局《区域气象观测站建设指导意见》（修订）、《国家级无人自动气候站建设技术要求》、《地面气象观测场规范化建设图册》、《新型自动气象（气候）站功能需求书（修订版）》、GB/T 31162-2014 地面气象观测场（室）防雷技术规范、《气象探测环境保护规范  地面气象观测站》、《气象设施和气象探测环境保护条例》，《呼伦贝尔市区域气象观测站建设标准（试行）》相关法律法规和业务管理规定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D654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3F8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遵守相关法律法规和业务管理规定；②项目调整及支出调整手续是否完备；③项目合同书、验收报告、技术鉴定等资料是否齐全并及时归档；④项目实施的人员条件、场地设备、信息支撑等是否落实到位。</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0C5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项目实施是否符合相关业务管理规定，用以反映和考核业务管理制度的有效执行情况</w:t>
            </w:r>
          </w:p>
        </w:tc>
      </w:tr>
      <w:tr w14:paraId="565C213B">
        <w:tblPrEx>
          <w:shd w:val="clear" w:color="auto" w:fill="auto"/>
          <w:tblCellMar>
            <w:top w:w="0" w:type="dxa"/>
            <w:left w:w="0" w:type="dxa"/>
            <w:bottom w:w="0" w:type="dxa"/>
            <w:right w:w="0" w:type="dxa"/>
          </w:tblCellMar>
        </w:tblPrEx>
        <w:trPr>
          <w:trHeight w:val="164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A96B2">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9C620">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4AA9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项目质量可控性</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6927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6FA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F150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已制定或具有相应的项目质量要求或标准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74CF8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质量检查、验收等必需的控制措施顺利实施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BB7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B0C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评价要点：①是否已制定或具有相应的项目质量要求或标准；②是否采取了相应的项目质量检查、验收等必需的控制措施或手段。满足一项得2分</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09EB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项目实施单位是否为达到项目质量要求而采取了必需的措施,用以反映和考核项目实施单位对项目质量的控制情况</w:t>
            </w:r>
          </w:p>
        </w:tc>
      </w:tr>
      <w:tr w14:paraId="507A84A3">
        <w:tblPrEx>
          <w:shd w:val="clear" w:color="auto" w:fill="auto"/>
          <w:tblCellMar>
            <w:top w:w="0" w:type="dxa"/>
            <w:left w:w="0" w:type="dxa"/>
            <w:bottom w:w="0" w:type="dxa"/>
            <w:right w:w="0" w:type="dxa"/>
          </w:tblCellMar>
        </w:tblPrEx>
        <w:trPr>
          <w:trHeight w:val="2160" w:hRule="atLeast"/>
        </w:trPr>
        <w:tc>
          <w:tcPr>
            <w:tcW w:w="3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5699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w:t>
            </w:r>
          </w:p>
        </w:tc>
        <w:tc>
          <w:tcPr>
            <w:tcW w:w="31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1AEF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项目产出</w:t>
            </w: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049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实际完成率</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6770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B33BD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D58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2B6A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01AB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411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实际完成率=（实际产出数/计划产出数）×100%。 实际产出数：一定时期（本年度或项目期）内项目实际产出的产品或提供的服务数量。 计划产出数：项目绩效目标确定的在一定时期（本年度或项目期）内计划产出的产品或提供的服务数量。</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F01E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项目实施的实际产出数与计划产出数的比率，用以反映和考核项目产出数量目标的实现程度</w:t>
            </w:r>
          </w:p>
        </w:tc>
      </w:tr>
      <w:tr w14:paraId="4289FBE1">
        <w:tblPrEx>
          <w:shd w:val="clear" w:color="auto" w:fill="auto"/>
          <w:tblCellMar>
            <w:top w:w="0" w:type="dxa"/>
            <w:left w:w="0" w:type="dxa"/>
            <w:bottom w:w="0" w:type="dxa"/>
            <w:right w:w="0" w:type="dxa"/>
          </w:tblCellMar>
        </w:tblPrEx>
        <w:trPr>
          <w:trHeight w:val="190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1E653F">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D0318">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2A06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完成及时率</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4105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7C58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F5B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16B4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157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8CAD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完成及时率=[（计划完成时间-实际完成时间）/计划完成时间]×100%。 实际完成时间：项目实施单位完成该项目实际所耗用的时间。 计划完成时间：按照项目实施计划或相关规定完成该项目所需的时间。</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9D89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项目实际提前完成时间与计划完成时间的比率，用以反映和考核项目产出时效目标的实现程度</w:t>
            </w:r>
          </w:p>
        </w:tc>
      </w:tr>
      <w:tr w14:paraId="2AD58E2B">
        <w:tblPrEx>
          <w:shd w:val="clear" w:color="auto" w:fill="auto"/>
          <w:tblCellMar>
            <w:top w:w="0" w:type="dxa"/>
            <w:left w:w="0" w:type="dxa"/>
            <w:bottom w:w="0" w:type="dxa"/>
            <w:right w:w="0" w:type="dxa"/>
          </w:tblCellMar>
        </w:tblPrEx>
        <w:trPr>
          <w:trHeight w:val="86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31947">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474E4">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FC3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质量达标率</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2EC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A849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D91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已对项目进行验收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D85E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项目验收合格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860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51F0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评价项目是否进行验收，验收情况。验收合格得4分</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F7D5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项目完成的质量验收情况，用以反映和考核项目产出质量目标的实现程度</w:t>
            </w:r>
          </w:p>
        </w:tc>
      </w:tr>
      <w:tr w14:paraId="58BE4AA0">
        <w:tblPrEx>
          <w:shd w:val="clear" w:color="auto" w:fill="auto"/>
          <w:tblCellMar>
            <w:top w:w="0" w:type="dxa"/>
            <w:left w:w="0" w:type="dxa"/>
            <w:bottom w:w="0" w:type="dxa"/>
            <w:right w:w="0" w:type="dxa"/>
          </w:tblCellMar>
        </w:tblPrEx>
        <w:trPr>
          <w:trHeight w:val="86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DE89F">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0B24DB">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C879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成本节约率</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C367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1A77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0911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无追加预算情况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B96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成本节约率控制在1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774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D50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项目实际投资和预算对比情况。按项目实际情况酌情打分</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885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项目完成后的实际成本与预算对比情况</w:t>
            </w:r>
          </w:p>
        </w:tc>
      </w:tr>
      <w:tr w14:paraId="02199456">
        <w:tblPrEx>
          <w:shd w:val="clear" w:color="auto" w:fill="auto"/>
          <w:tblCellMar>
            <w:top w:w="0" w:type="dxa"/>
            <w:left w:w="0" w:type="dxa"/>
            <w:bottom w:w="0" w:type="dxa"/>
            <w:right w:w="0" w:type="dxa"/>
          </w:tblCellMar>
        </w:tblPrEx>
        <w:trPr>
          <w:trHeight w:val="330" w:hRule="atLeast"/>
        </w:trPr>
        <w:tc>
          <w:tcPr>
            <w:tcW w:w="3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89A8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效果</w:t>
            </w:r>
          </w:p>
        </w:tc>
        <w:tc>
          <w:tcPr>
            <w:tcW w:w="31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9F22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项目效益</w:t>
            </w: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F60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21F7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D7A06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475AD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推动地方经济发展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FBC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推动农林牧业和旅游业持续发展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7F6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84F5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此项指标为设置项目支出绩效评价指标时必须考虑的共性要素，可根据项目实际并结合绩效目标设立情况有选择的进行设置，并将其细化为相应的个性化指标。</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CAEF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项目实施对社会发展所带来的直接或间接影响情况</w:t>
            </w:r>
          </w:p>
        </w:tc>
      </w:tr>
      <w:tr w14:paraId="4547E0B5">
        <w:tblPrEx>
          <w:shd w:val="clear" w:color="auto" w:fill="auto"/>
          <w:tblCellMar>
            <w:top w:w="0" w:type="dxa"/>
            <w:left w:w="0" w:type="dxa"/>
            <w:bottom w:w="0" w:type="dxa"/>
            <w:right w:w="0" w:type="dxa"/>
          </w:tblCellMar>
        </w:tblPrEx>
        <w:trPr>
          <w:trHeight w:val="515"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1DE518">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E68B3">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9CD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生态效益</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696A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DB03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BF66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项目实施符合当地生态环境保护要求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3C62C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对生态环境无污染及影响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4A19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630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此项指标为设置项目支出绩效评价指标时必须考虑的共性要素，可根据项目实际并结合绩效目标设立情况有选择的进行设置，并将其细化为相应的个性化指标。</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451C8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项目实施对生态环境所带来的直接或间接影响情况</w:t>
            </w:r>
          </w:p>
        </w:tc>
      </w:tr>
      <w:tr w14:paraId="369C9519">
        <w:tblPrEx>
          <w:shd w:val="clear" w:color="auto" w:fill="auto"/>
          <w:tblCellMar>
            <w:top w:w="0" w:type="dxa"/>
            <w:left w:w="0" w:type="dxa"/>
            <w:bottom w:w="0" w:type="dxa"/>
            <w:right w:w="0" w:type="dxa"/>
          </w:tblCellMar>
        </w:tblPrEx>
        <w:trPr>
          <w:trHeight w:val="174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37E49">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D445B">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7FB1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可持续影响</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E443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83DA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5C8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符合城市可持续发展战略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0A35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符合城市可持续发展战略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716D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AEEEF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此项指标为设置项目支出绩效评价指标时必须考虑的共性要素，可根据项目实际并结合绩效目标设立情况有选择的进行设置，并将其细化为相应的个性化指标。</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61D48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项目后续运行及成效发挥的可持续影响情况</w:t>
            </w:r>
          </w:p>
        </w:tc>
      </w:tr>
      <w:tr w14:paraId="04ED1D30">
        <w:tblPrEx>
          <w:shd w:val="clear" w:color="auto" w:fill="auto"/>
          <w:tblCellMar>
            <w:top w:w="0" w:type="dxa"/>
            <w:left w:w="0" w:type="dxa"/>
            <w:bottom w:w="0" w:type="dxa"/>
            <w:right w:w="0" w:type="dxa"/>
          </w:tblCellMar>
        </w:tblPrEx>
        <w:trPr>
          <w:trHeight w:val="138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10820">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54C68">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F9B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或服务对象满意度</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297C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8454E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07AD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社会公众满意度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BCA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DE9C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C11C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社会公众或服务对象是指因该项目实施而受到影响的部门（单位）、群体或个人。一般采取社会调查的方式。</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84F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社会公众或服务对象对项目实施效果的满意程度</w:t>
            </w:r>
          </w:p>
        </w:tc>
      </w:tr>
      <w:tr w14:paraId="04DBAD5D">
        <w:tblPrEx>
          <w:shd w:val="clear" w:color="auto" w:fill="auto"/>
          <w:tblCellMar>
            <w:top w:w="0" w:type="dxa"/>
            <w:left w:w="0" w:type="dxa"/>
            <w:bottom w:w="0" w:type="dxa"/>
            <w:right w:w="0" w:type="dxa"/>
          </w:tblCellMar>
        </w:tblPrEx>
        <w:trPr>
          <w:trHeight w:val="150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AB65FE">
            <w:pPr>
              <w:jc w:val="center"/>
              <w:rPr>
                <w:rFonts w:hint="eastAsia" w:ascii="宋体" w:hAnsi="宋体" w:eastAsia="宋体" w:cs="宋体"/>
                <w:i w:val="0"/>
                <w:color w:val="000000"/>
                <w:sz w:val="18"/>
                <w:szCs w:val="18"/>
                <w:u w:val="none"/>
              </w:rPr>
            </w:pPr>
          </w:p>
        </w:tc>
        <w:tc>
          <w:tcPr>
            <w:tcW w:w="31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A6F01">
            <w:pPr>
              <w:jc w:val="center"/>
              <w:rPr>
                <w:rFonts w:hint="eastAsia" w:ascii="宋体" w:hAnsi="宋体" w:eastAsia="宋体" w:cs="宋体"/>
                <w:i w:val="0"/>
                <w:color w:val="000000"/>
                <w:sz w:val="18"/>
                <w:szCs w:val="18"/>
                <w:u w:val="none"/>
              </w:rPr>
            </w:pPr>
          </w:p>
        </w:tc>
        <w:tc>
          <w:tcPr>
            <w:tcW w:w="7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93DA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6EE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C200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F60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促进经济发展、减轻灾害损失 </w:t>
            </w:r>
          </w:p>
        </w:tc>
        <w:tc>
          <w:tcPr>
            <w:tcW w:w="166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C31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提高气象数据时间和空间监测能力，促进地方经济发展，减轻气象灾害带来的经济损失。   </w:t>
            </w:r>
          </w:p>
        </w:tc>
        <w:tc>
          <w:tcPr>
            <w:tcW w:w="8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02D21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已达到预期效果</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EEC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此项指标为设置项目支出绩效评价指标时必须考虑的共性要素，可根据项目实际并结合绩效目标设立情况有选择的进行设置，并将其细化为相应的个性化指标。</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DCA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项目实施对经济发展所带来的直接或间接影响情况</w:t>
            </w:r>
          </w:p>
        </w:tc>
      </w:tr>
      <w:tr w14:paraId="036273C9">
        <w:tblPrEx>
          <w:shd w:val="clear" w:color="auto" w:fill="auto"/>
          <w:tblCellMar>
            <w:top w:w="0" w:type="dxa"/>
            <w:left w:w="0" w:type="dxa"/>
            <w:bottom w:w="0" w:type="dxa"/>
            <w:right w:w="0" w:type="dxa"/>
          </w:tblCellMar>
        </w:tblPrEx>
        <w:trPr>
          <w:trHeight w:val="285" w:hRule="atLeast"/>
        </w:trPr>
        <w:tc>
          <w:tcPr>
            <w:tcW w:w="8360" w:type="dxa"/>
            <w:gridSpan w:val="1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2F3D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四、项目绩效综合评价意见</w:t>
            </w:r>
          </w:p>
        </w:tc>
      </w:tr>
      <w:tr w14:paraId="64859827">
        <w:tblPrEx>
          <w:shd w:val="clear" w:color="auto" w:fill="auto"/>
          <w:tblCellMar>
            <w:top w:w="0" w:type="dxa"/>
            <w:left w:w="0" w:type="dxa"/>
            <w:bottom w:w="0" w:type="dxa"/>
            <w:right w:w="0" w:type="dxa"/>
          </w:tblCellMar>
        </w:tblPrEx>
        <w:trPr>
          <w:trHeight w:val="400" w:hRule="atLeast"/>
        </w:trPr>
        <w:tc>
          <w:tcPr>
            <w:tcW w:w="1420"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D9AC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评价组成员</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ACB4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姓名</w:t>
            </w:r>
          </w:p>
        </w:tc>
        <w:tc>
          <w:tcPr>
            <w:tcW w:w="1755"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DDE7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职称</w:t>
            </w:r>
          </w:p>
        </w:tc>
        <w:tc>
          <w:tcPr>
            <w:tcW w:w="2694" w:type="dxa"/>
            <w:gridSpan w:val="7"/>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6BA85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工作单位</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74DDC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签名</w:t>
            </w:r>
          </w:p>
        </w:tc>
      </w:tr>
      <w:tr w14:paraId="7D6C9417">
        <w:tblPrEx>
          <w:shd w:val="clear" w:color="auto" w:fill="auto"/>
          <w:tblCellMar>
            <w:top w:w="0" w:type="dxa"/>
            <w:left w:w="0" w:type="dxa"/>
            <w:bottom w:w="0" w:type="dxa"/>
            <w:right w:w="0" w:type="dxa"/>
          </w:tblCellMar>
        </w:tblPrEx>
        <w:trPr>
          <w:trHeight w:val="400" w:hRule="atLeast"/>
        </w:trPr>
        <w:tc>
          <w:tcPr>
            <w:tcW w:w="142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831A0D">
            <w:pPr>
              <w:jc w:val="center"/>
              <w:rPr>
                <w:rFonts w:hint="eastAsia" w:ascii="宋体" w:hAnsi="宋体" w:eastAsia="宋体" w:cs="宋体"/>
                <w:i w:val="0"/>
                <w:color w:val="000000"/>
                <w:sz w:val="18"/>
                <w:szCs w:val="18"/>
                <w:u w:val="none"/>
              </w:rPr>
            </w:pP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C2EB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张扬</w:t>
            </w:r>
          </w:p>
        </w:tc>
        <w:tc>
          <w:tcPr>
            <w:tcW w:w="1755"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D6BC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科员</w:t>
            </w:r>
          </w:p>
        </w:tc>
        <w:tc>
          <w:tcPr>
            <w:tcW w:w="2694" w:type="dxa"/>
            <w:gridSpan w:val="7"/>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E809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呼伦贝尔市气象局</w:t>
            </w:r>
          </w:p>
        </w:tc>
        <w:tc>
          <w:tcPr>
            <w:tcW w:w="66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3C544D">
            <w:pPr>
              <w:jc w:val="center"/>
              <w:rPr>
                <w:rFonts w:hint="eastAsia" w:ascii="宋体" w:hAnsi="宋体" w:eastAsia="宋体" w:cs="宋体"/>
                <w:i w:val="0"/>
                <w:color w:val="000000"/>
                <w:sz w:val="18"/>
                <w:szCs w:val="18"/>
                <w:u w:val="none"/>
              </w:rPr>
            </w:pPr>
          </w:p>
        </w:tc>
      </w:tr>
      <w:tr w14:paraId="21985FE6">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2787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综合评价得分</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4C335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14:paraId="79ECE53F">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4AE9A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综合绩效等级</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0AE6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w:t>
            </w:r>
          </w:p>
        </w:tc>
      </w:tr>
      <w:tr w14:paraId="7C8785EE">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D19A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综合评价意见</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865E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同意</w:t>
            </w:r>
          </w:p>
        </w:tc>
      </w:tr>
      <w:tr w14:paraId="7FEDE1A6">
        <w:tblPrEx>
          <w:shd w:val="clear" w:color="auto" w:fill="auto"/>
          <w:tblCellMar>
            <w:top w:w="0" w:type="dxa"/>
            <w:left w:w="0" w:type="dxa"/>
            <w:bottom w:w="0" w:type="dxa"/>
            <w:right w:w="0" w:type="dxa"/>
          </w:tblCellMar>
        </w:tblPrEx>
        <w:trPr>
          <w:trHeight w:val="285" w:hRule="atLeast"/>
        </w:trPr>
        <w:tc>
          <w:tcPr>
            <w:tcW w:w="142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854D7A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综合评价问题</w:t>
            </w:r>
          </w:p>
        </w:tc>
        <w:tc>
          <w:tcPr>
            <w:tcW w:w="6940" w:type="dxa"/>
            <w:gridSpan w:val="1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1C0F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无</w:t>
            </w:r>
          </w:p>
        </w:tc>
      </w:tr>
      <w:tr w14:paraId="1B01D4EB">
        <w:tblPrEx>
          <w:shd w:val="clear" w:color="auto" w:fill="auto"/>
          <w:tblCellMar>
            <w:top w:w="0" w:type="dxa"/>
            <w:left w:w="0" w:type="dxa"/>
            <w:bottom w:w="0" w:type="dxa"/>
            <w:right w:w="0" w:type="dxa"/>
          </w:tblCellMar>
        </w:tblPrEx>
        <w:trPr>
          <w:trHeight w:val="312" w:hRule="atLeast"/>
        </w:trPr>
        <w:tc>
          <w:tcPr>
            <w:tcW w:w="8360" w:type="dxa"/>
            <w:gridSpan w:val="19"/>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7A8D2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审核意见</w:t>
            </w:r>
          </w:p>
        </w:tc>
      </w:tr>
      <w:tr w14:paraId="1B231DE4">
        <w:tblPrEx>
          <w:shd w:val="clear" w:color="auto" w:fill="auto"/>
          <w:tblCellMar>
            <w:top w:w="0" w:type="dxa"/>
            <w:left w:w="0" w:type="dxa"/>
            <w:bottom w:w="0" w:type="dxa"/>
            <w:right w:w="0" w:type="dxa"/>
          </w:tblCellMar>
        </w:tblPrEx>
        <w:trPr>
          <w:trHeight w:val="340" w:hRule="atLeast"/>
        </w:trPr>
        <w:tc>
          <w:tcPr>
            <w:tcW w:w="1420"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11C2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申报单位签章</w:t>
            </w:r>
          </w:p>
        </w:tc>
        <w:tc>
          <w:tcPr>
            <w:tcW w:w="3173" w:type="dxa"/>
            <w:gridSpan w:val="7"/>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349F73B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提交评审</w:t>
            </w:r>
          </w:p>
        </w:tc>
        <w:tc>
          <w:tcPr>
            <w:tcW w:w="1230"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32D8D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业务科室审核意见</w:t>
            </w:r>
          </w:p>
        </w:tc>
        <w:tc>
          <w:tcPr>
            <w:tcW w:w="2537" w:type="dxa"/>
            <w:gridSpan w:val="5"/>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1ECBE9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通过</w:t>
            </w:r>
          </w:p>
        </w:tc>
      </w:tr>
      <w:tr w14:paraId="4C6A3EF7">
        <w:tblPrEx>
          <w:shd w:val="clear" w:color="auto" w:fill="auto"/>
          <w:tblCellMar>
            <w:top w:w="0" w:type="dxa"/>
            <w:left w:w="0" w:type="dxa"/>
            <w:bottom w:w="0" w:type="dxa"/>
            <w:right w:w="0" w:type="dxa"/>
          </w:tblCellMar>
        </w:tblPrEx>
        <w:trPr>
          <w:trHeight w:val="340" w:hRule="atLeast"/>
        </w:trPr>
        <w:tc>
          <w:tcPr>
            <w:tcW w:w="142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58A159">
            <w:pPr>
              <w:jc w:val="left"/>
              <w:rPr>
                <w:rFonts w:hint="eastAsia" w:ascii="宋体" w:hAnsi="宋体" w:eastAsia="宋体" w:cs="宋体"/>
                <w:i w:val="0"/>
                <w:color w:val="000000"/>
                <w:sz w:val="18"/>
                <w:szCs w:val="18"/>
                <w:u w:val="none"/>
              </w:rPr>
            </w:pPr>
          </w:p>
        </w:tc>
        <w:tc>
          <w:tcPr>
            <w:tcW w:w="3173" w:type="dxa"/>
            <w:gridSpan w:val="7"/>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482EED83">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申报单位：呼伦贝尔市气象局机关  </w:t>
            </w:r>
          </w:p>
        </w:tc>
        <w:tc>
          <w:tcPr>
            <w:tcW w:w="1230"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29747C">
            <w:pPr>
              <w:jc w:val="left"/>
              <w:rPr>
                <w:rFonts w:hint="eastAsia" w:ascii="宋体" w:hAnsi="宋体" w:eastAsia="宋体" w:cs="宋体"/>
                <w:i w:val="0"/>
                <w:color w:val="000000"/>
                <w:sz w:val="18"/>
                <w:szCs w:val="18"/>
                <w:u w:val="none"/>
              </w:rPr>
            </w:pPr>
          </w:p>
        </w:tc>
        <w:tc>
          <w:tcPr>
            <w:tcW w:w="2537" w:type="dxa"/>
            <w:gridSpan w:val="5"/>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79BE12C1">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审核人：  </w:t>
            </w:r>
          </w:p>
        </w:tc>
      </w:tr>
      <w:tr w14:paraId="3E17EF03">
        <w:tblPrEx>
          <w:shd w:val="clear" w:color="auto" w:fill="auto"/>
          <w:tblCellMar>
            <w:top w:w="0" w:type="dxa"/>
            <w:left w:w="0" w:type="dxa"/>
            <w:bottom w:w="0" w:type="dxa"/>
            <w:right w:w="0" w:type="dxa"/>
          </w:tblCellMar>
        </w:tblPrEx>
        <w:trPr>
          <w:trHeight w:val="380" w:hRule="atLeast"/>
        </w:trPr>
        <w:tc>
          <w:tcPr>
            <w:tcW w:w="142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CED0E5">
            <w:pPr>
              <w:jc w:val="left"/>
              <w:rPr>
                <w:rFonts w:hint="eastAsia" w:ascii="宋体" w:hAnsi="宋体" w:eastAsia="宋体" w:cs="宋体"/>
                <w:i w:val="0"/>
                <w:color w:val="000000"/>
                <w:sz w:val="18"/>
                <w:szCs w:val="18"/>
                <w:u w:val="none"/>
              </w:rPr>
            </w:pPr>
          </w:p>
        </w:tc>
        <w:tc>
          <w:tcPr>
            <w:tcW w:w="3173" w:type="dxa"/>
            <w:gridSpan w:val="7"/>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5C154889">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单位签章：                               2019  年   5月   27日</w:t>
            </w:r>
          </w:p>
        </w:tc>
        <w:tc>
          <w:tcPr>
            <w:tcW w:w="1230"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91F871">
            <w:pPr>
              <w:jc w:val="left"/>
              <w:rPr>
                <w:rFonts w:hint="eastAsia" w:ascii="宋体" w:hAnsi="宋体" w:eastAsia="宋体" w:cs="宋体"/>
                <w:i w:val="0"/>
                <w:color w:val="000000"/>
                <w:sz w:val="18"/>
                <w:szCs w:val="18"/>
                <w:u w:val="none"/>
              </w:rPr>
            </w:pPr>
          </w:p>
        </w:tc>
        <w:tc>
          <w:tcPr>
            <w:tcW w:w="2537" w:type="dxa"/>
            <w:gridSpan w:val="5"/>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7E22C452">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科室签章：         年   月   日</w:t>
            </w:r>
          </w:p>
        </w:tc>
      </w:tr>
      <w:tr w14:paraId="35FBD332">
        <w:tblPrEx>
          <w:shd w:val="clear" w:color="auto" w:fill="auto"/>
          <w:tblCellMar>
            <w:top w:w="0" w:type="dxa"/>
            <w:left w:w="0" w:type="dxa"/>
            <w:bottom w:w="0" w:type="dxa"/>
            <w:right w:w="0" w:type="dxa"/>
          </w:tblCellMar>
        </w:tblPrEx>
        <w:trPr>
          <w:trHeight w:val="285" w:hRule="atLeast"/>
        </w:trPr>
        <w:tc>
          <w:tcPr>
            <w:tcW w:w="1420"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D21F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主管部门负责人</w:t>
            </w:r>
          </w:p>
        </w:tc>
        <w:tc>
          <w:tcPr>
            <w:tcW w:w="3173" w:type="dxa"/>
            <w:gridSpan w:val="7"/>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26FB88E9">
            <w:pPr>
              <w:jc w:val="left"/>
              <w:rPr>
                <w:rFonts w:hint="eastAsia" w:ascii="宋体" w:hAnsi="宋体" w:eastAsia="宋体" w:cs="宋体"/>
                <w:i w:val="0"/>
                <w:color w:val="000000"/>
                <w:sz w:val="18"/>
                <w:szCs w:val="18"/>
                <w:u w:val="none"/>
              </w:rPr>
            </w:pPr>
          </w:p>
        </w:tc>
        <w:tc>
          <w:tcPr>
            <w:tcW w:w="1230"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984E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财政绩效中心审核意见</w:t>
            </w:r>
          </w:p>
        </w:tc>
        <w:tc>
          <w:tcPr>
            <w:tcW w:w="2537" w:type="dxa"/>
            <w:gridSpan w:val="5"/>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009C8749">
            <w:pPr>
              <w:jc w:val="left"/>
              <w:rPr>
                <w:rFonts w:hint="eastAsia" w:ascii="宋体" w:hAnsi="宋体" w:eastAsia="宋体" w:cs="宋体"/>
                <w:i w:val="0"/>
                <w:color w:val="000000"/>
                <w:sz w:val="18"/>
                <w:szCs w:val="18"/>
                <w:u w:val="none"/>
              </w:rPr>
            </w:pPr>
          </w:p>
        </w:tc>
      </w:tr>
      <w:tr w14:paraId="3BA8DDF2">
        <w:tblPrEx>
          <w:shd w:val="clear" w:color="auto" w:fill="auto"/>
          <w:tblCellMar>
            <w:top w:w="0" w:type="dxa"/>
            <w:left w:w="0" w:type="dxa"/>
            <w:bottom w:w="0" w:type="dxa"/>
            <w:right w:w="0" w:type="dxa"/>
          </w:tblCellMar>
        </w:tblPrEx>
        <w:trPr>
          <w:trHeight w:val="200" w:hRule="atLeast"/>
        </w:trPr>
        <w:tc>
          <w:tcPr>
            <w:tcW w:w="142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2ADAD5">
            <w:pPr>
              <w:jc w:val="left"/>
              <w:rPr>
                <w:rFonts w:hint="eastAsia" w:ascii="宋体" w:hAnsi="宋体" w:eastAsia="宋体" w:cs="宋体"/>
                <w:i w:val="0"/>
                <w:color w:val="000000"/>
                <w:sz w:val="18"/>
                <w:szCs w:val="18"/>
                <w:u w:val="none"/>
              </w:rPr>
            </w:pPr>
          </w:p>
        </w:tc>
        <w:tc>
          <w:tcPr>
            <w:tcW w:w="3173" w:type="dxa"/>
            <w:gridSpan w:val="7"/>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071F89D2">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审核人：            </w:t>
            </w:r>
          </w:p>
        </w:tc>
        <w:tc>
          <w:tcPr>
            <w:tcW w:w="1230"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9BA0B4">
            <w:pPr>
              <w:jc w:val="left"/>
              <w:rPr>
                <w:rFonts w:hint="eastAsia" w:ascii="宋体" w:hAnsi="宋体" w:eastAsia="宋体" w:cs="宋体"/>
                <w:i w:val="0"/>
                <w:color w:val="000000"/>
                <w:sz w:val="18"/>
                <w:szCs w:val="18"/>
                <w:u w:val="none"/>
              </w:rPr>
            </w:pPr>
          </w:p>
        </w:tc>
        <w:tc>
          <w:tcPr>
            <w:tcW w:w="2537" w:type="dxa"/>
            <w:gridSpan w:val="5"/>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6C051617">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审核人：  </w:t>
            </w:r>
          </w:p>
        </w:tc>
      </w:tr>
      <w:tr w14:paraId="7325A025">
        <w:tblPrEx>
          <w:shd w:val="clear" w:color="auto" w:fill="auto"/>
          <w:tblCellMar>
            <w:top w:w="0" w:type="dxa"/>
            <w:left w:w="0" w:type="dxa"/>
            <w:bottom w:w="0" w:type="dxa"/>
            <w:right w:w="0" w:type="dxa"/>
          </w:tblCellMar>
        </w:tblPrEx>
        <w:trPr>
          <w:trHeight w:val="540" w:hRule="atLeast"/>
        </w:trPr>
        <w:tc>
          <w:tcPr>
            <w:tcW w:w="142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58C3CC">
            <w:pPr>
              <w:jc w:val="left"/>
              <w:rPr>
                <w:rFonts w:hint="eastAsia" w:ascii="宋体" w:hAnsi="宋体" w:eastAsia="宋体" w:cs="宋体"/>
                <w:i w:val="0"/>
                <w:color w:val="000000"/>
                <w:sz w:val="18"/>
                <w:szCs w:val="18"/>
                <w:u w:val="none"/>
              </w:rPr>
            </w:pPr>
          </w:p>
        </w:tc>
        <w:tc>
          <w:tcPr>
            <w:tcW w:w="3173" w:type="dxa"/>
            <w:gridSpan w:val="7"/>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555904B3">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单位签章：                                2019  年   5月   27日</w:t>
            </w:r>
          </w:p>
        </w:tc>
        <w:tc>
          <w:tcPr>
            <w:tcW w:w="1230"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6CC32D">
            <w:pPr>
              <w:jc w:val="left"/>
              <w:rPr>
                <w:rFonts w:hint="eastAsia" w:ascii="宋体" w:hAnsi="宋体" w:eastAsia="宋体" w:cs="宋体"/>
                <w:i w:val="0"/>
                <w:color w:val="000000"/>
                <w:sz w:val="18"/>
                <w:szCs w:val="18"/>
                <w:u w:val="none"/>
              </w:rPr>
            </w:pPr>
          </w:p>
        </w:tc>
        <w:tc>
          <w:tcPr>
            <w:tcW w:w="2537" w:type="dxa"/>
            <w:gridSpan w:val="5"/>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24D589EE">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科室签章：        年   月   日</w:t>
            </w:r>
          </w:p>
        </w:tc>
      </w:tr>
    </w:tbl>
    <w:p w14:paraId="2ACDBFA8">
      <w:pPr>
        <w:numPr>
          <w:ilvl w:val="0"/>
          <w:numId w:val="1"/>
        </w:numPr>
        <w:autoSpaceDE w:val="0"/>
        <w:autoSpaceDN w:val="0"/>
        <w:adjustRightInd w:val="0"/>
        <w:spacing w:before="100" w:beforeAutospacing="1" w:after="100" w:afterAutospacing="1" w:line="58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天气预报广告费项目，绩效自评结果良好，各项自评指标设置科学，权重合理，得分客观，指标设置涵盖业务流程全过程，通过绩效指标设置，保障了业务的稳定运行，能够提供及时有效的气象服务，为呼伦贝尔社会、经济发展提供气象保障。</w:t>
      </w:r>
    </w:p>
    <w:tbl>
      <w:tblPr>
        <w:tblStyle w:val="10"/>
        <w:tblW w:w="8520" w:type="dxa"/>
        <w:tblInd w:w="0" w:type="dxa"/>
        <w:shd w:val="clear" w:color="auto" w:fill="auto"/>
        <w:tblLayout w:type="fixed"/>
        <w:tblCellMar>
          <w:top w:w="0" w:type="dxa"/>
          <w:left w:w="0" w:type="dxa"/>
          <w:bottom w:w="0" w:type="dxa"/>
          <w:right w:w="0" w:type="dxa"/>
        </w:tblCellMar>
      </w:tblPr>
      <w:tblGrid>
        <w:gridCol w:w="489"/>
        <w:gridCol w:w="489"/>
        <w:gridCol w:w="637"/>
        <w:gridCol w:w="630"/>
        <w:gridCol w:w="93"/>
        <w:gridCol w:w="432"/>
        <w:gridCol w:w="529"/>
        <w:gridCol w:w="156"/>
        <w:gridCol w:w="240"/>
        <w:gridCol w:w="215"/>
        <w:gridCol w:w="184"/>
        <w:gridCol w:w="328"/>
        <w:gridCol w:w="193"/>
        <w:gridCol w:w="15"/>
        <w:gridCol w:w="177"/>
        <w:gridCol w:w="342"/>
        <w:gridCol w:w="111"/>
        <w:gridCol w:w="75"/>
        <w:gridCol w:w="308"/>
        <w:gridCol w:w="611"/>
        <w:gridCol w:w="466"/>
        <w:gridCol w:w="570"/>
        <w:gridCol w:w="660"/>
        <w:gridCol w:w="115"/>
        <w:gridCol w:w="455"/>
      </w:tblGrid>
      <w:tr w14:paraId="476256A8">
        <w:tblPrEx>
          <w:shd w:val="clear" w:color="auto" w:fill="auto"/>
        </w:tblPrEx>
        <w:trPr>
          <w:trHeight w:val="433" w:hRule="atLeast"/>
        </w:trPr>
        <w:tc>
          <w:tcPr>
            <w:tcW w:w="8520" w:type="dxa"/>
            <w:gridSpan w:val="25"/>
            <w:tcBorders>
              <w:top w:val="nil"/>
              <w:left w:val="nil"/>
              <w:bottom w:val="nil"/>
              <w:right w:val="nil"/>
            </w:tcBorders>
            <w:shd w:val="clear" w:color="auto" w:fill="auto"/>
            <w:tcMar>
              <w:top w:w="15" w:type="dxa"/>
              <w:left w:w="15" w:type="dxa"/>
              <w:right w:w="15" w:type="dxa"/>
            </w:tcMar>
            <w:vAlign w:val="center"/>
          </w:tcPr>
          <w:p w14:paraId="6B44CA69">
            <w:pPr>
              <w:keepNext w:val="0"/>
              <w:keepLines w:val="0"/>
              <w:widowControl/>
              <w:suppressLineNumbers w:val="0"/>
              <w:jc w:val="center"/>
              <w:textAlignment w:val="center"/>
              <w:rPr>
                <w:rFonts w:ascii="黑体" w:hAnsi="宋体" w:eastAsia="黑体" w:cs="黑体"/>
                <w:b/>
                <w:i w:val="0"/>
                <w:color w:val="000000"/>
                <w:sz w:val="32"/>
                <w:szCs w:val="32"/>
                <w:u w:val="none"/>
              </w:rPr>
            </w:pPr>
            <w:r>
              <w:rPr>
                <w:rFonts w:hint="eastAsia" w:ascii="黑体" w:hAnsi="宋体" w:eastAsia="黑体" w:cs="黑体"/>
                <w:b/>
                <w:i w:val="0"/>
                <w:color w:val="000000"/>
                <w:kern w:val="0"/>
                <w:sz w:val="32"/>
                <w:szCs w:val="32"/>
                <w:u w:val="none"/>
                <w:lang w:val="en-US" w:eastAsia="zh-CN" w:bidi="ar"/>
              </w:rPr>
              <w:t>2019年财政资金绩效评价自评信息表</w:t>
            </w:r>
          </w:p>
        </w:tc>
      </w:tr>
      <w:tr w14:paraId="506AFF1C">
        <w:tblPrEx>
          <w:shd w:val="clear" w:color="auto" w:fill="auto"/>
          <w:tblCellMar>
            <w:top w:w="0" w:type="dxa"/>
            <w:left w:w="0" w:type="dxa"/>
            <w:bottom w:w="0" w:type="dxa"/>
            <w:right w:w="0" w:type="dxa"/>
          </w:tblCellMar>
        </w:tblPrEx>
        <w:trPr>
          <w:trHeight w:val="328" w:hRule="atLeast"/>
        </w:trPr>
        <w:tc>
          <w:tcPr>
            <w:tcW w:w="489" w:type="dxa"/>
            <w:tcBorders>
              <w:top w:val="nil"/>
              <w:left w:val="nil"/>
              <w:bottom w:val="nil"/>
              <w:right w:val="nil"/>
            </w:tcBorders>
            <w:shd w:val="clear" w:color="auto" w:fill="auto"/>
            <w:tcMar>
              <w:top w:w="15" w:type="dxa"/>
              <w:left w:w="15" w:type="dxa"/>
              <w:right w:w="15" w:type="dxa"/>
            </w:tcMar>
            <w:vAlign w:val="center"/>
          </w:tcPr>
          <w:p w14:paraId="02FEF773">
            <w:pPr>
              <w:rPr>
                <w:rFonts w:hint="eastAsia" w:ascii="宋体" w:hAnsi="宋体" w:eastAsia="宋体" w:cs="宋体"/>
                <w:i w:val="0"/>
                <w:color w:val="000000"/>
                <w:sz w:val="24"/>
                <w:szCs w:val="24"/>
                <w:u w:val="none"/>
              </w:rPr>
            </w:pPr>
          </w:p>
        </w:tc>
        <w:tc>
          <w:tcPr>
            <w:tcW w:w="489" w:type="dxa"/>
            <w:tcBorders>
              <w:top w:val="nil"/>
              <w:left w:val="nil"/>
              <w:bottom w:val="nil"/>
              <w:right w:val="nil"/>
            </w:tcBorders>
            <w:shd w:val="clear" w:color="auto" w:fill="auto"/>
            <w:tcMar>
              <w:top w:w="15" w:type="dxa"/>
              <w:left w:w="15" w:type="dxa"/>
              <w:right w:w="15" w:type="dxa"/>
            </w:tcMar>
            <w:vAlign w:val="center"/>
          </w:tcPr>
          <w:p w14:paraId="7D141951">
            <w:pPr>
              <w:rPr>
                <w:rFonts w:hint="eastAsia" w:ascii="宋体" w:hAnsi="宋体" w:eastAsia="宋体" w:cs="宋体"/>
                <w:i w:val="0"/>
                <w:color w:val="000000"/>
                <w:sz w:val="24"/>
                <w:szCs w:val="24"/>
                <w:u w:val="none"/>
              </w:rPr>
            </w:pPr>
          </w:p>
        </w:tc>
        <w:tc>
          <w:tcPr>
            <w:tcW w:w="637" w:type="dxa"/>
            <w:tcBorders>
              <w:top w:val="nil"/>
              <w:left w:val="nil"/>
              <w:bottom w:val="nil"/>
              <w:right w:val="nil"/>
            </w:tcBorders>
            <w:shd w:val="clear" w:color="auto" w:fill="auto"/>
            <w:tcMar>
              <w:top w:w="15" w:type="dxa"/>
              <w:left w:w="15" w:type="dxa"/>
              <w:right w:w="15" w:type="dxa"/>
            </w:tcMar>
            <w:vAlign w:val="center"/>
          </w:tcPr>
          <w:p w14:paraId="1A7878C1">
            <w:pPr>
              <w:rPr>
                <w:rFonts w:hint="eastAsia" w:ascii="宋体" w:hAnsi="宋体" w:eastAsia="宋体" w:cs="宋体"/>
                <w:i w:val="0"/>
                <w:color w:val="000000"/>
                <w:sz w:val="24"/>
                <w:szCs w:val="24"/>
                <w:u w:val="none"/>
              </w:rPr>
            </w:pPr>
          </w:p>
        </w:tc>
        <w:tc>
          <w:tcPr>
            <w:tcW w:w="723" w:type="dxa"/>
            <w:gridSpan w:val="2"/>
            <w:tcBorders>
              <w:top w:val="nil"/>
              <w:left w:val="nil"/>
              <w:bottom w:val="nil"/>
              <w:right w:val="nil"/>
            </w:tcBorders>
            <w:shd w:val="clear" w:color="auto" w:fill="auto"/>
            <w:tcMar>
              <w:top w:w="15" w:type="dxa"/>
              <w:left w:w="15" w:type="dxa"/>
              <w:right w:w="15" w:type="dxa"/>
            </w:tcMar>
            <w:vAlign w:val="center"/>
          </w:tcPr>
          <w:p w14:paraId="7EDD35DC">
            <w:pPr>
              <w:rPr>
                <w:rFonts w:hint="eastAsia" w:ascii="宋体" w:hAnsi="宋体" w:eastAsia="宋体" w:cs="宋体"/>
                <w:i w:val="0"/>
                <w:color w:val="000000"/>
                <w:sz w:val="24"/>
                <w:szCs w:val="24"/>
                <w:u w:val="none"/>
              </w:rPr>
            </w:pPr>
          </w:p>
        </w:tc>
        <w:tc>
          <w:tcPr>
            <w:tcW w:w="961" w:type="dxa"/>
            <w:gridSpan w:val="2"/>
            <w:tcBorders>
              <w:top w:val="nil"/>
              <w:left w:val="nil"/>
              <w:bottom w:val="nil"/>
              <w:right w:val="nil"/>
            </w:tcBorders>
            <w:shd w:val="clear" w:color="auto" w:fill="auto"/>
            <w:tcMar>
              <w:top w:w="15" w:type="dxa"/>
              <w:left w:w="15" w:type="dxa"/>
              <w:right w:w="15" w:type="dxa"/>
            </w:tcMar>
            <w:vAlign w:val="center"/>
          </w:tcPr>
          <w:p w14:paraId="5C002D3C">
            <w:pPr>
              <w:rPr>
                <w:rFonts w:hint="eastAsia" w:ascii="宋体" w:hAnsi="宋体" w:eastAsia="宋体" w:cs="宋体"/>
                <w:i w:val="0"/>
                <w:color w:val="000000"/>
                <w:sz w:val="24"/>
                <w:szCs w:val="24"/>
                <w:u w:val="none"/>
              </w:rPr>
            </w:pPr>
          </w:p>
        </w:tc>
        <w:tc>
          <w:tcPr>
            <w:tcW w:w="396" w:type="dxa"/>
            <w:gridSpan w:val="2"/>
            <w:tcBorders>
              <w:top w:val="nil"/>
              <w:left w:val="nil"/>
              <w:bottom w:val="nil"/>
              <w:right w:val="nil"/>
            </w:tcBorders>
            <w:shd w:val="clear" w:color="auto" w:fill="auto"/>
            <w:tcMar>
              <w:top w:w="15" w:type="dxa"/>
              <w:left w:w="15" w:type="dxa"/>
              <w:right w:w="15" w:type="dxa"/>
            </w:tcMar>
            <w:vAlign w:val="center"/>
          </w:tcPr>
          <w:p w14:paraId="2BED7533">
            <w:pPr>
              <w:rPr>
                <w:rFonts w:hint="eastAsia" w:ascii="宋体" w:hAnsi="宋体" w:eastAsia="宋体" w:cs="宋体"/>
                <w:i w:val="0"/>
                <w:color w:val="000000"/>
                <w:sz w:val="24"/>
                <w:szCs w:val="24"/>
                <w:u w:val="none"/>
              </w:rPr>
            </w:pPr>
          </w:p>
        </w:tc>
        <w:tc>
          <w:tcPr>
            <w:tcW w:w="399" w:type="dxa"/>
            <w:gridSpan w:val="2"/>
            <w:tcBorders>
              <w:top w:val="nil"/>
              <w:left w:val="nil"/>
              <w:bottom w:val="nil"/>
              <w:right w:val="nil"/>
            </w:tcBorders>
            <w:shd w:val="clear" w:color="auto" w:fill="auto"/>
            <w:tcMar>
              <w:top w:w="15" w:type="dxa"/>
              <w:left w:w="15" w:type="dxa"/>
              <w:right w:w="15" w:type="dxa"/>
            </w:tcMar>
            <w:vAlign w:val="center"/>
          </w:tcPr>
          <w:p w14:paraId="3FEC5815">
            <w:pPr>
              <w:rPr>
                <w:rFonts w:hint="eastAsia" w:ascii="宋体" w:hAnsi="宋体" w:eastAsia="宋体" w:cs="宋体"/>
                <w:i w:val="0"/>
                <w:color w:val="000000"/>
                <w:sz w:val="24"/>
                <w:szCs w:val="24"/>
                <w:u w:val="none"/>
              </w:rPr>
            </w:pPr>
          </w:p>
        </w:tc>
        <w:tc>
          <w:tcPr>
            <w:tcW w:w="328" w:type="dxa"/>
            <w:tcBorders>
              <w:top w:val="nil"/>
              <w:left w:val="nil"/>
              <w:bottom w:val="nil"/>
              <w:right w:val="nil"/>
            </w:tcBorders>
            <w:shd w:val="clear" w:color="auto" w:fill="auto"/>
            <w:tcMar>
              <w:top w:w="15" w:type="dxa"/>
              <w:left w:w="15" w:type="dxa"/>
              <w:right w:w="15" w:type="dxa"/>
            </w:tcMar>
            <w:vAlign w:val="center"/>
          </w:tcPr>
          <w:p w14:paraId="4F4BFA4B">
            <w:pPr>
              <w:rPr>
                <w:rFonts w:hint="eastAsia" w:ascii="宋体" w:hAnsi="宋体" w:eastAsia="宋体" w:cs="宋体"/>
                <w:i w:val="0"/>
                <w:color w:val="000000"/>
                <w:sz w:val="24"/>
                <w:szCs w:val="24"/>
                <w:u w:val="none"/>
              </w:rPr>
            </w:pPr>
          </w:p>
        </w:tc>
        <w:tc>
          <w:tcPr>
            <w:tcW w:w="385" w:type="dxa"/>
            <w:gridSpan w:val="3"/>
            <w:tcBorders>
              <w:top w:val="nil"/>
              <w:left w:val="nil"/>
              <w:bottom w:val="nil"/>
              <w:right w:val="nil"/>
            </w:tcBorders>
            <w:shd w:val="clear" w:color="auto" w:fill="auto"/>
            <w:tcMar>
              <w:top w:w="15" w:type="dxa"/>
              <w:left w:w="15" w:type="dxa"/>
              <w:right w:w="15" w:type="dxa"/>
            </w:tcMar>
            <w:vAlign w:val="center"/>
          </w:tcPr>
          <w:p w14:paraId="582073C0">
            <w:pPr>
              <w:rPr>
                <w:rFonts w:hint="eastAsia" w:ascii="宋体" w:hAnsi="宋体" w:eastAsia="宋体" w:cs="宋体"/>
                <w:i w:val="0"/>
                <w:color w:val="000000"/>
                <w:sz w:val="24"/>
                <w:szCs w:val="24"/>
                <w:u w:val="none"/>
              </w:rPr>
            </w:pPr>
          </w:p>
        </w:tc>
        <w:tc>
          <w:tcPr>
            <w:tcW w:w="342" w:type="dxa"/>
            <w:tcBorders>
              <w:top w:val="nil"/>
              <w:left w:val="nil"/>
              <w:bottom w:val="nil"/>
              <w:right w:val="nil"/>
            </w:tcBorders>
            <w:shd w:val="clear" w:color="auto" w:fill="auto"/>
            <w:tcMar>
              <w:top w:w="15" w:type="dxa"/>
              <w:left w:w="15" w:type="dxa"/>
              <w:right w:w="15" w:type="dxa"/>
            </w:tcMar>
            <w:vAlign w:val="center"/>
          </w:tcPr>
          <w:p w14:paraId="2EAB0FED">
            <w:pPr>
              <w:rPr>
                <w:rFonts w:hint="eastAsia" w:ascii="宋体" w:hAnsi="宋体" w:eastAsia="宋体" w:cs="宋体"/>
                <w:i w:val="0"/>
                <w:color w:val="000000"/>
                <w:sz w:val="24"/>
                <w:szCs w:val="24"/>
                <w:u w:val="none"/>
              </w:rPr>
            </w:pPr>
          </w:p>
        </w:tc>
        <w:tc>
          <w:tcPr>
            <w:tcW w:w="494" w:type="dxa"/>
            <w:gridSpan w:val="3"/>
            <w:tcBorders>
              <w:top w:val="nil"/>
              <w:left w:val="nil"/>
              <w:bottom w:val="nil"/>
              <w:right w:val="nil"/>
            </w:tcBorders>
            <w:shd w:val="clear" w:color="auto" w:fill="auto"/>
            <w:tcMar>
              <w:top w:w="15" w:type="dxa"/>
              <w:left w:w="15" w:type="dxa"/>
              <w:right w:w="15" w:type="dxa"/>
            </w:tcMar>
            <w:vAlign w:val="center"/>
          </w:tcPr>
          <w:p w14:paraId="476E08BC">
            <w:pPr>
              <w:rPr>
                <w:rFonts w:hint="eastAsia" w:ascii="宋体" w:hAnsi="宋体" w:eastAsia="宋体" w:cs="宋体"/>
                <w:i w:val="0"/>
                <w:color w:val="000000"/>
                <w:sz w:val="24"/>
                <w:szCs w:val="24"/>
                <w:u w:val="none"/>
              </w:rPr>
            </w:pPr>
          </w:p>
        </w:tc>
        <w:tc>
          <w:tcPr>
            <w:tcW w:w="611" w:type="dxa"/>
            <w:tcBorders>
              <w:top w:val="nil"/>
              <w:left w:val="nil"/>
              <w:bottom w:val="nil"/>
              <w:right w:val="nil"/>
            </w:tcBorders>
            <w:shd w:val="clear" w:color="auto" w:fill="auto"/>
            <w:tcMar>
              <w:top w:w="15" w:type="dxa"/>
              <w:left w:w="15" w:type="dxa"/>
              <w:right w:w="15" w:type="dxa"/>
            </w:tcMar>
            <w:vAlign w:val="center"/>
          </w:tcPr>
          <w:p w14:paraId="6FE41224">
            <w:pPr>
              <w:rPr>
                <w:rFonts w:hint="eastAsia" w:ascii="宋体" w:hAnsi="宋体" w:eastAsia="宋体" w:cs="宋体"/>
                <w:i w:val="0"/>
                <w:color w:val="000000"/>
                <w:sz w:val="24"/>
                <w:szCs w:val="24"/>
                <w:u w:val="none"/>
              </w:rPr>
            </w:pPr>
          </w:p>
        </w:tc>
        <w:tc>
          <w:tcPr>
            <w:tcW w:w="466" w:type="dxa"/>
            <w:tcBorders>
              <w:top w:val="nil"/>
              <w:left w:val="nil"/>
              <w:bottom w:val="nil"/>
              <w:right w:val="nil"/>
            </w:tcBorders>
            <w:shd w:val="clear" w:color="auto" w:fill="auto"/>
            <w:tcMar>
              <w:top w:w="15" w:type="dxa"/>
              <w:left w:w="15" w:type="dxa"/>
              <w:right w:w="15" w:type="dxa"/>
            </w:tcMar>
            <w:vAlign w:val="center"/>
          </w:tcPr>
          <w:p w14:paraId="7FB8A31D">
            <w:pPr>
              <w:rPr>
                <w:rFonts w:hint="eastAsia" w:ascii="宋体" w:hAnsi="宋体" w:eastAsia="宋体" w:cs="宋体"/>
                <w:i w:val="0"/>
                <w:color w:val="000000"/>
                <w:sz w:val="24"/>
                <w:szCs w:val="24"/>
                <w:u w:val="none"/>
              </w:rPr>
            </w:pPr>
          </w:p>
        </w:tc>
        <w:tc>
          <w:tcPr>
            <w:tcW w:w="570" w:type="dxa"/>
            <w:tcBorders>
              <w:top w:val="nil"/>
              <w:left w:val="nil"/>
              <w:bottom w:val="nil"/>
              <w:right w:val="nil"/>
            </w:tcBorders>
            <w:shd w:val="clear" w:color="auto" w:fill="auto"/>
            <w:tcMar>
              <w:top w:w="15" w:type="dxa"/>
              <w:left w:w="15" w:type="dxa"/>
              <w:right w:w="15" w:type="dxa"/>
            </w:tcMar>
            <w:vAlign w:val="center"/>
          </w:tcPr>
          <w:p w14:paraId="2AE34CEF">
            <w:pPr>
              <w:rPr>
                <w:rFonts w:hint="eastAsia" w:ascii="宋体" w:hAnsi="宋体" w:eastAsia="宋体" w:cs="宋体"/>
                <w:i w:val="0"/>
                <w:color w:val="000000"/>
                <w:sz w:val="24"/>
                <w:szCs w:val="24"/>
                <w:u w:val="none"/>
              </w:rPr>
            </w:pPr>
          </w:p>
        </w:tc>
        <w:tc>
          <w:tcPr>
            <w:tcW w:w="660" w:type="dxa"/>
            <w:tcBorders>
              <w:top w:val="nil"/>
              <w:left w:val="nil"/>
              <w:bottom w:val="nil"/>
              <w:right w:val="nil"/>
            </w:tcBorders>
            <w:shd w:val="clear" w:color="auto" w:fill="auto"/>
            <w:tcMar>
              <w:top w:w="15" w:type="dxa"/>
              <w:left w:w="15" w:type="dxa"/>
              <w:right w:w="15" w:type="dxa"/>
            </w:tcMar>
            <w:vAlign w:val="center"/>
          </w:tcPr>
          <w:p w14:paraId="117B99C0">
            <w:pPr>
              <w:rPr>
                <w:rFonts w:hint="eastAsia" w:ascii="宋体" w:hAnsi="宋体" w:eastAsia="宋体" w:cs="宋体"/>
                <w:i w:val="0"/>
                <w:color w:val="000000"/>
                <w:sz w:val="24"/>
                <w:szCs w:val="24"/>
                <w:u w:val="none"/>
              </w:rPr>
            </w:pPr>
          </w:p>
        </w:tc>
        <w:tc>
          <w:tcPr>
            <w:tcW w:w="570" w:type="dxa"/>
            <w:gridSpan w:val="2"/>
            <w:tcBorders>
              <w:top w:val="nil"/>
              <w:left w:val="nil"/>
              <w:bottom w:val="nil"/>
              <w:right w:val="nil"/>
            </w:tcBorders>
            <w:shd w:val="clear" w:color="auto" w:fill="auto"/>
            <w:tcMar>
              <w:top w:w="15" w:type="dxa"/>
              <w:left w:w="15" w:type="dxa"/>
              <w:right w:w="15" w:type="dxa"/>
            </w:tcMar>
            <w:vAlign w:val="center"/>
          </w:tcPr>
          <w:p w14:paraId="3A60BF04">
            <w:pPr>
              <w:rPr>
                <w:rFonts w:hint="eastAsia" w:ascii="宋体" w:hAnsi="宋体" w:eastAsia="宋体" w:cs="宋体"/>
                <w:i w:val="0"/>
                <w:color w:val="000000"/>
                <w:sz w:val="24"/>
                <w:szCs w:val="24"/>
                <w:u w:val="none"/>
              </w:rPr>
            </w:pPr>
          </w:p>
        </w:tc>
      </w:tr>
      <w:tr w14:paraId="69C2E2D6">
        <w:tblPrEx>
          <w:shd w:val="clear" w:color="auto" w:fill="auto"/>
          <w:tblCellMar>
            <w:top w:w="0" w:type="dxa"/>
            <w:left w:w="0" w:type="dxa"/>
            <w:bottom w:w="0" w:type="dxa"/>
            <w:right w:w="0" w:type="dxa"/>
          </w:tblCellMar>
        </w:tblPrEx>
        <w:trPr>
          <w:trHeight w:val="302" w:hRule="atLeast"/>
        </w:trPr>
        <w:tc>
          <w:tcPr>
            <w:tcW w:w="8520" w:type="dxa"/>
            <w:gridSpan w:val="25"/>
            <w:tcBorders>
              <w:top w:val="nil"/>
              <w:left w:val="nil"/>
              <w:bottom w:val="nil"/>
              <w:right w:val="nil"/>
            </w:tcBorders>
            <w:shd w:val="clear" w:color="auto" w:fill="auto"/>
            <w:tcMar>
              <w:top w:w="15" w:type="dxa"/>
              <w:left w:w="15" w:type="dxa"/>
              <w:right w:w="15" w:type="dxa"/>
            </w:tcMar>
            <w:vAlign w:val="center"/>
          </w:tcPr>
          <w:p w14:paraId="05BABC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编制单位：呼伦贝尔市气象局机关</w:t>
            </w:r>
          </w:p>
        </w:tc>
      </w:tr>
      <w:tr w14:paraId="73679874">
        <w:tblPrEx>
          <w:shd w:val="clear" w:color="auto" w:fill="auto"/>
          <w:tblCellMar>
            <w:top w:w="0" w:type="dxa"/>
            <w:left w:w="0" w:type="dxa"/>
            <w:bottom w:w="0" w:type="dxa"/>
            <w:right w:w="0" w:type="dxa"/>
          </w:tblCellMar>
        </w:tblPrEx>
        <w:trPr>
          <w:trHeight w:val="426" w:hRule="atLeast"/>
        </w:trPr>
        <w:tc>
          <w:tcPr>
            <w:tcW w:w="8520" w:type="dxa"/>
            <w:gridSpan w:val="25"/>
            <w:tcBorders>
              <w:top w:val="nil"/>
              <w:left w:val="nil"/>
              <w:bottom w:val="single" w:color="000000" w:sz="4" w:space="0"/>
              <w:right w:val="nil"/>
            </w:tcBorders>
            <w:shd w:val="clear" w:color="auto" w:fill="auto"/>
            <w:tcMar>
              <w:top w:w="15" w:type="dxa"/>
              <w:left w:w="15" w:type="dxa"/>
              <w:right w:w="15" w:type="dxa"/>
            </w:tcMar>
            <w:vAlign w:val="center"/>
          </w:tcPr>
          <w:p w14:paraId="0FB0C18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一、项目基本情况</w:t>
            </w:r>
          </w:p>
        </w:tc>
      </w:tr>
      <w:tr w14:paraId="5365FEC1">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378B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项目名称</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EB18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天气预报广告费</w:t>
            </w:r>
          </w:p>
        </w:tc>
      </w:tr>
      <w:tr w14:paraId="6BDC46E8">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248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项目负责人</w:t>
            </w:r>
          </w:p>
        </w:tc>
        <w:tc>
          <w:tcPr>
            <w:tcW w:w="3534" w:type="dxa"/>
            <w:gridSpan w:val="13"/>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4E9FD7C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刘正会</w:t>
            </w:r>
          </w:p>
        </w:tc>
        <w:tc>
          <w:tcPr>
            <w:tcW w:w="157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F3C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联系电话</w:t>
            </w:r>
          </w:p>
        </w:tc>
        <w:tc>
          <w:tcPr>
            <w:tcW w:w="1800" w:type="dxa"/>
            <w:gridSpan w:val="4"/>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C898B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8244443</w:t>
            </w:r>
          </w:p>
        </w:tc>
      </w:tr>
      <w:tr w14:paraId="580F750A">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605DF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单位财务</w:t>
            </w:r>
          </w:p>
        </w:tc>
        <w:tc>
          <w:tcPr>
            <w:tcW w:w="3534" w:type="dxa"/>
            <w:gridSpan w:val="1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2CDA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赵薇</w:t>
            </w:r>
          </w:p>
        </w:tc>
        <w:tc>
          <w:tcPr>
            <w:tcW w:w="1571"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7616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财务联系电话</w:t>
            </w:r>
          </w:p>
        </w:tc>
        <w:tc>
          <w:tcPr>
            <w:tcW w:w="1800"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AA21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8244443</w:t>
            </w:r>
          </w:p>
        </w:tc>
      </w:tr>
      <w:tr w14:paraId="6BBE31B9">
        <w:tblPrEx>
          <w:shd w:val="clear" w:color="auto" w:fill="auto"/>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3CD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项目类别</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1153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商品和服务支出</w:t>
            </w:r>
          </w:p>
        </w:tc>
      </w:tr>
      <w:tr w14:paraId="7B3F1D7A">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FF9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项目类型</w:t>
            </w:r>
          </w:p>
        </w:tc>
        <w:tc>
          <w:tcPr>
            <w:tcW w:w="3534" w:type="dxa"/>
            <w:gridSpan w:val="1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54AC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延续项目</w:t>
            </w:r>
          </w:p>
        </w:tc>
        <w:tc>
          <w:tcPr>
            <w:tcW w:w="157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64F1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项目口径</w:t>
            </w:r>
          </w:p>
        </w:tc>
        <w:tc>
          <w:tcPr>
            <w:tcW w:w="1800"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0D17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经常性</w:t>
            </w:r>
          </w:p>
        </w:tc>
      </w:tr>
      <w:tr w14:paraId="744A133F">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48531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项目依据</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7B3B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部门提出的项目</w:t>
            </w:r>
          </w:p>
        </w:tc>
      </w:tr>
      <w:tr w14:paraId="2B975E3E">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F7265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项目属性</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7F7C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专项资金</w:t>
            </w:r>
          </w:p>
        </w:tc>
      </w:tr>
      <w:tr w14:paraId="36EFE63F">
        <w:tblPrEx>
          <w:shd w:val="clear" w:color="auto" w:fill="auto"/>
          <w:tblCellMar>
            <w:top w:w="0" w:type="dxa"/>
            <w:left w:w="0" w:type="dxa"/>
            <w:bottom w:w="0" w:type="dxa"/>
            <w:right w:w="0" w:type="dxa"/>
          </w:tblCellMar>
        </w:tblPrEx>
        <w:trPr>
          <w:trHeight w:val="388"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169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项目计划实施时间</w:t>
            </w:r>
          </w:p>
        </w:tc>
        <w:tc>
          <w:tcPr>
            <w:tcW w:w="6905" w:type="dxa"/>
            <w:gridSpan w:val="22"/>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BA7F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2018-01-01至 2018-12-31</w:t>
            </w:r>
          </w:p>
        </w:tc>
      </w:tr>
      <w:tr w14:paraId="5332FEC2">
        <w:tblPrEx>
          <w:shd w:val="clear" w:color="auto" w:fill="auto"/>
          <w:tblCellMar>
            <w:top w:w="0" w:type="dxa"/>
            <w:left w:w="0" w:type="dxa"/>
            <w:bottom w:w="0" w:type="dxa"/>
            <w:right w:w="0" w:type="dxa"/>
          </w:tblCellMar>
        </w:tblPrEx>
        <w:trPr>
          <w:trHeight w:val="366"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C6FE7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项目实际实施时间</w:t>
            </w:r>
          </w:p>
        </w:tc>
        <w:tc>
          <w:tcPr>
            <w:tcW w:w="6905" w:type="dxa"/>
            <w:gridSpan w:val="22"/>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2049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2018-01-01至 2018-12-31</w:t>
            </w:r>
          </w:p>
        </w:tc>
      </w:tr>
      <w:tr w14:paraId="6B6C8AD8">
        <w:tblPrEx>
          <w:shd w:val="clear" w:color="auto" w:fill="auto"/>
          <w:tblCellMar>
            <w:top w:w="0" w:type="dxa"/>
            <w:left w:w="0" w:type="dxa"/>
            <w:bottom w:w="0" w:type="dxa"/>
            <w:right w:w="0" w:type="dxa"/>
          </w:tblCellMar>
        </w:tblPrEx>
        <w:trPr>
          <w:trHeight w:val="339"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F4A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项目自评价时间</w:t>
            </w:r>
          </w:p>
        </w:tc>
        <w:tc>
          <w:tcPr>
            <w:tcW w:w="6905" w:type="dxa"/>
            <w:gridSpan w:val="22"/>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A02A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2019-05-16至 2019-05-16</w:t>
            </w:r>
          </w:p>
        </w:tc>
      </w:tr>
      <w:tr w14:paraId="4A391E47">
        <w:tblPrEx>
          <w:shd w:val="clear" w:color="auto" w:fill="auto"/>
          <w:tblCellMar>
            <w:top w:w="0" w:type="dxa"/>
            <w:left w:w="0" w:type="dxa"/>
            <w:bottom w:w="0" w:type="dxa"/>
            <w:right w:w="0" w:type="dxa"/>
          </w:tblCellMar>
        </w:tblPrEx>
        <w:trPr>
          <w:trHeight w:val="609"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C65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项目申请原因（包括设立依据、可行性及必要性）</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A02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通过绩效评价管理，使呼</w:t>
            </w:r>
          </w:p>
        </w:tc>
      </w:tr>
      <w:tr w14:paraId="71FDBF9A">
        <w:tblPrEx>
          <w:shd w:val="clear" w:color="auto" w:fill="auto"/>
          <w:tblCellMar>
            <w:top w:w="0" w:type="dxa"/>
            <w:left w:w="0" w:type="dxa"/>
            <w:bottom w:w="0" w:type="dxa"/>
            <w:right w:w="0" w:type="dxa"/>
          </w:tblCellMar>
        </w:tblPrEx>
        <w:trPr>
          <w:trHeight w:val="530"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FBFC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项目内容</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000B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根据市气象局与北京华风声像技术中心签订的《天气预报（节目）技术服务合同》，2018年1月1日至12月31日，CCTV1、CCTV新闻频道播出呼伦贝尔市天气预报。</w:t>
            </w:r>
          </w:p>
        </w:tc>
      </w:tr>
      <w:tr w14:paraId="074D8D4D">
        <w:tblPrEx>
          <w:shd w:val="clear" w:color="auto" w:fill="auto"/>
          <w:tblCellMar>
            <w:top w:w="0" w:type="dxa"/>
            <w:left w:w="0" w:type="dxa"/>
            <w:bottom w:w="0" w:type="dxa"/>
            <w:right w:w="0" w:type="dxa"/>
          </w:tblCellMar>
        </w:tblPrEx>
        <w:trPr>
          <w:trHeight w:val="791"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690E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项目概况</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9EBE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每天早7:55分，在CCTV-1/CCTV-新闻频道、《朝闻天下天气预报》中实时播报呼伦贝尔市天气预报，同时在每天12:30分中国气象频道《优秀旅游城市天气预报》、18:55、次日08:25（重播）中国教育电视台《城市天气预报》以及中国天气网天气预报详情页精彩图集 </w:t>
            </w:r>
          </w:p>
        </w:tc>
      </w:tr>
      <w:tr w14:paraId="6489B5FA">
        <w:tblPrEx>
          <w:shd w:val="clear" w:color="auto" w:fill="auto"/>
          <w:tblCellMar>
            <w:top w:w="0" w:type="dxa"/>
            <w:left w:w="0" w:type="dxa"/>
            <w:bottom w:w="0" w:type="dxa"/>
            <w:right w:w="0" w:type="dxa"/>
          </w:tblCellMar>
        </w:tblPrEx>
        <w:trPr>
          <w:trHeight w:val="456" w:hRule="atLeast"/>
        </w:trPr>
        <w:tc>
          <w:tcPr>
            <w:tcW w:w="489"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B6457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项目绩效目标</w:t>
            </w:r>
          </w:p>
        </w:tc>
        <w:tc>
          <w:tcPr>
            <w:tcW w:w="112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8BBEB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总目标完成情况</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815B9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已达到既定目标 </w:t>
            </w:r>
          </w:p>
        </w:tc>
      </w:tr>
      <w:tr w14:paraId="4E49DCBA">
        <w:tblPrEx>
          <w:shd w:val="clear" w:color="auto" w:fill="auto"/>
          <w:tblCellMar>
            <w:top w:w="0" w:type="dxa"/>
            <w:left w:w="0" w:type="dxa"/>
            <w:bottom w:w="0" w:type="dxa"/>
            <w:right w:w="0" w:type="dxa"/>
          </w:tblCellMar>
        </w:tblPrEx>
        <w:trPr>
          <w:trHeight w:val="312"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76919FF">
            <w:pPr>
              <w:jc w:val="center"/>
              <w:rPr>
                <w:rFonts w:hint="eastAsia" w:ascii="宋体" w:hAnsi="宋体" w:eastAsia="宋体" w:cs="宋体"/>
                <w:i w:val="0"/>
                <w:color w:val="000000"/>
                <w:sz w:val="18"/>
                <w:szCs w:val="18"/>
                <w:u w:val="none"/>
              </w:rPr>
            </w:pPr>
          </w:p>
        </w:tc>
        <w:tc>
          <w:tcPr>
            <w:tcW w:w="112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EB299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阶段性目标完成情况</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3C88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无</w:t>
            </w:r>
          </w:p>
        </w:tc>
      </w:tr>
      <w:tr w14:paraId="2D6D30EB">
        <w:tblPrEx>
          <w:shd w:val="clear" w:color="auto" w:fill="auto"/>
          <w:tblCellMar>
            <w:top w:w="0" w:type="dxa"/>
            <w:left w:w="0" w:type="dxa"/>
            <w:bottom w:w="0" w:type="dxa"/>
            <w:right w:w="0" w:type="dxa"/>
          </w:tblCellMar>
        </w:tblPrEx>
        <w:trPr>
          <w:trHeight w:val="312" w:hRule="atLeast"/>
        </w:trPr>
        <w:tc>
          <w:tcPr>
            <w:tcW w:w="489"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DD14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阶段性目标完成情况</w:t>
            </w:r>
          </w:p>
        </w:tc>
        <w:tc>
          <w:tcPr>
            <w:tcW w:w="112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D561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前期准备</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9DC4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研读2018年度中央电视台早午间《天气预报》城市预报征订说明，对比分析各时段广告效果，统筹考虑，制定征订方案。 </w:t>
            </w:r>
          </w:p>
        </w:tc>
      </w:tr>
      <w:tr w14:paraId="1B4C0F28">
        <w:tblPrEx>
          <w:shd w:val="clear" w:color="auto" w:fill="auto"/>
          <w:tblCellMar>
            <w:top w:w="0" w:type="dxa"/>
            <w:left w:w="0" w:type="dxa"/>
            <w:bottom w:w="0" w:type="dxa"/>
            <w:right w:w="0" w:type="dxa"/>
          </w:tblCellMar>
        </w:tblPrEx>
        <w:trPr>
          <w:trHeight w:val="312"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ABF588">
            <w:pPr>
              <w:jc w:val="center"/>
              <w:rPr>
                <w:rFonts w:hint="eastAsia" w:ascii="宋体" w:hAnsi="宋体" w:eastAsia="宋体" w:cs="宋体"/>
                <w:i w:val="0"/>
                <w:color w:val="000000"/>
                <w:sz w:val="18"/>
                <w:szCs w:val="18"/>
                <w:u w:val="none"/>
              </w:rPr>
            </w:pPr>
          </w:p>
        </w:tc>
        <w:tc>
          <w:tcPr>
            <w:tcW w:w="112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AC05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组织实施</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91DC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此项工作由呼伦贝尔市气象局牵头，通过北京市华云影视公司实施。 </w:t>
            </w:r>
          </w:p>
        </w:tc>
      </w:tr>
      <w:tr w14:paraId="4CDFA9D3">
        <w:tblPrEx>
          <w:shd w:val="clear" w:color="auto" w:fill="auto"/>
          <w:tblCellMar>
            <w:top w:w="0" w:type="dxa"/>
            <w:left w:w="0" w:type="dxa"/>
            <w:bottom w:w="0" w:type="dxa"/>
            <w:right w:w="0" w:type="dxa"/>
          </w:tblCellMar>
        </w:tblPrEx>
        <w:trPr>
          <w:trHeight w:val="589"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05CA5B">
            <w:pPr>
              <w:jc w:val="center"/>
              <w:rPr>
                <w:rFonts w:hint="eastAsia" w:ascii="宋体" w:hAnsi="宋体" w:eastAsia="宋体" w:cs="宋体"/>
                <w:i w:val="0"/>
                <w:color w:val="000000"/>
                <w:sz w:val="18"/>
                <w:szCs w:val="18"/>
                <w:u w:val="none"/>
              </w:rPr>
            </w:pPr>
          </w:p>
        </w:tc>
        <w:tc>
          <w:tcPr>
            <w:tcW w:w="112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4F4A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分析评价</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3035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依托央视优质宣传资源及其影响力和公信力，通过早、午间《天气预报》节目向观众呈现出良好的呼伦贝尔市的城市形象和优质的旅游资源，推动呼伦贝尔市的旅游产业、招商引资等方面工作。 </w:t>
            </w:r>
          </w:p>
        </w:tc>
      </w:tr>
      <w:tr w14:paraId="4BDFB0D0">
        <w:tblPrEx>
          <w:shd w:val="clear" w:color="auto" w:fill="auto"/>
          <w:tblCellMar>
            <w:top w:w="0" w:type="dxa"/>
            <w:left w:w="0" w:type="dxa"/>
            <w:bottom w:w="0" w:type="dxa"/>
            <w:right w:w="0" w:type="dxa"/>
          </w:tblCellMar>
        </w:tblPrEx>
        <w:trPr>
          <w:trHeight w:val="312" w:hRule="atLeast"/>
        </w:trPr>
        <w:tc>
          <w:tcPr>
            <w:tcW w:w="8520" w:type="dxa"/>
            <w:gridSpan w:val="2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DC4B2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二、项目资金情况</w:t>
            </w:r>
          </w:p>
        </w:tc>
      </w:tr>
      <w:tr w14:paraId="13E47163">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187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申请资金(万元)</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A4304">
            <w:pPr>
              <w:jc w:val="center"/>
              <w:rPr>
                <w:rFonts w:hint="eastAsia" w:ascii="宋体" w:hAnsi="宋体" w:eastAsia="宋体" w:cs="宋体"/>
                <w:i w:val="0"/>
                <w:color w:val="000000"/>
                <w:sz w:val="18"/>
                <w:szCs w:val="18"/>
                <w:u w:val="none"/>
              </w:rPr>
            </w:pPr>
          </w:p>
        </w:tc>
      </w:tr>
      <w:tr w14:paraId="01F31FE3">
        <w:tblPrEx>
          <w:shd w:val="clear" w:color="auto" w:fill="auto"/>
          <w:tblCellMar>
            <w:top w:w="0" w:type="dxa"/>
            <w:left w:w="0" w:type="dxa"/>
            <w:bottom w:w="0" w:type="dxa"/>
            <w:right w:w="0" w:type="dxa"/>
          </w:tblCellMar>
        </w:tblPrEx>
        <w:trPr>
          <w:trHeight w:val="312" w:hRule="atLeast"/>
        </w:trPr>
        <w:tc>
          <w:tcPr>
            <w:tcW w:w="1615" w:type="dxa"/>
            <w:gridSpan w:val="3"/>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0D611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项目资金来源</w:t>
            </w:r>
          </w:p>
        </w:tc>
        <w:tc>
          <w:tcPr>
            <w:tcW w:w="1840"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316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资金来源</w:t>
            </w:r>
          </w:p>
        </w:tc>
        <w:tc>
          <w:tcPr>
            <w:tcW w:w="45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82867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w:t>
            </w:r>
          </w:p>
        </w:tc>
        <w:tc>
          <w:tcPr>
            <w:tcW w:w="705"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D772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当年安排资金</w:t>
            </w:r>
          </w:p>
        </w:tc>
        <w:tc>
          <w:tcPr>
            <w:tcW w:w="1639"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DF20E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实际到位</w:t>
            </w:r>
          </w:p>
        </w:tc>
        <w:tc>
          <w:tcPr>
            <w:tcW w:w="1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24D5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实际支出</w:t>
            </w:r>
          </w:p>
        </w:tc>
        <w:tc>
          <w:tcPr>
            <w:tcW w:w="5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22E9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结转结余金额</w:t>
            </w:r>
          </w:p>
        </w:tc>
      </w:tr>
      <w:tr w14:paraId="51B69E02">
        <w:tblPrEx>
          <w:shd w:val="clear" w:color="auto" w:fill="auto"/>
          <w:tblCellMar>
            <w:top w:w="0" w:type="dxa"/>
            <w:left w:w="0" w:type="dxa"/>
            <w:bottom w:w="0" w:type="dxa"/>
            <w:right w:w="0" w:type="dxa"/>
          </w:tblCellMar>
        </w:tblPrEx>
        <w:trPr>
          <w:trHeight w:val="494"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E48DCA">
            <w:pPr>
              <w:jc w:val="center"/>
              <w:rPr>
                <w:rFonts w:hint="eastAsia" w:ascii="宋体" w:hAnsi="宋体" w:eastAsia="宋体" w:cs="宋体"/>
                <w:i w:val="0"/>
                <w:color w:val="000000"/>
                <w:sz w:val="18"/>
                <w:szCs w:val="18"/>
                <w:u w:val="none"/>
              </w:rPr>
            </w:pPr>
          </w:p>
        </w:tc>
        <w:tc>
          <w:tcPr>
            <w:tcW w:w="1840"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99F2C">
            <w:pPr>
              <w:jc w:val="center"/>
              <w:rPr>
                <w:rFonts w:hint="eastAsia" w:ascii="宋体" w:hAnsi="宋体" w:eastAsia="宋体" w:cs="宋体"/>
                <w:i w:val="0"/>
                <w:color w:val="000000"/>
                <w:sz w:val="18"/>
                <w:szCs w:val="18"/>
                <w:u w:val="none"/>
              </w:rPr>
            </w:pPr>
          </w:p>
        </w:tc>
        <w:tc>
          <w:tcPr>
            <w:tcW w:w="45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765A2">
            <w:pPr>
              <w:jc w:val="center"/>
              <w:rPr>
                <w:rFonts w:hint="eastAsia" w:ascii="宋体" w:hAnsi="宋体" w:eastAsia="宋体" w:cs="宋体"/>
                <w:i w:val="0"/>
                <w:color w:val="000000"/>
                <w:sz w:val="18"/>
                <w:szCs w:val="18"/>
                <w:u w:val="none"/>
              </w:rPr>
            </w:pPr>
          </w:p>
        </w:tc>
        <w:tc>
          <w:tcPr>
            <w:tcW w:w="705"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A5064">
            <w:pPr>
              <w:jc w:val="center"/>
              <w:rPr>
                <w:rFonts w:hint="eastAsia" w:ascii="宋体" w:hAnsi="宋体" w:eastAsia="宋体" w:cs="宋体"/>
                <w:i w:val="0"/>
                <w:color w:val="000000"/>
                <w:sz w:val="18"/>
                <w:szCs w:val="18"/>
                <w:u w:val="none"/>
              </w:rPr>
            </w:pP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A6F5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514D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到位率（%）</w:t>
            </w: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4AA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0926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支出实现率（%）</w:t>
            </w:r>
          </w:p>
        </w:tc>
        <w:tc>
          <w:tcPr>
            <w:tcW w:w="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1D616">
            <w:pPr>
              <w:jc w:val="center"/>
              <w:rPr>
                <w:rFonts w:hint="eastAsia" w:ascii="宋体" w:hAnsi="宋体" w:eastAsia="宋体" w:cs="宋体"/>
                <w:i w:val="0"/>
                <w:color w:val="000000"/>
                <w:sz w:val="18"/>
                <w:szCs w:val="18"/>
                <w:u w:val="none"/>
              </w:rPr>
            </w:pPr>
          </w:p>
        </w:tc>
      </w:tr>
      <w:tr w14:paraId="0E5D0DA3">
        <w:tblPrEx>
          <w:shd w:val="clear" w:color="auto" w:fill="auto"/>
          <w:tblCellMar>
            <w:top w:w="0" w:type="dxa"/>
            <w:left w:w="0" w:type="dxa"/>
            <w:bottom w:w="0" w:type="dxa"/>
            <w:right w:w="0" w:type="dxa"/>
          </w:tblCellMar>
        </w:tblPrEx>
        <w:trPr>
          <w:trHeight w:val="428"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C1C7799">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nil"/>
              <w:bottom w:val="single" w:color="000000" w:sz="4" w:space="0"/>
              <w:right w:val="single" w:color="000000" w:sz="4" w:space="0"/>
            </w:tcBorders>
            <w:shd w:val="clear" w:color="auto" w:fill="FFFFFF"/>
            <w:tcMar>
              <w:top w:w="15" w:type="dxa"/>
              <w:left w:w="15" w:type="dxa"/>
              <w:right w:w="15" w:type="dxa"/>
            </w:tcMar>
            <w:vAlign w:val="center"/>
          </w:tcPr>
          <w:p w14:paraId="2A23C5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0295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FA77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1E17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6DA22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11E2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2D3E3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7940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D17DDB8">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4D0D2A">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A7DF0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公共财政预算管理资金</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6FEFD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79214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460C8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A157D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DBC4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79179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AE1A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1DDBAB5">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2DA1B7">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38F52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政府性资金预算资金</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D4D23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90E62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0091B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E11220">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DFE9C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B45502">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43082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FD71131">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96FE75F">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F1457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国有资本经营预算资金</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5FD5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1CA6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7958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2B61DA">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E013B2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B8108E">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9B2C5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786C53F">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3B8576">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20239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社会保险基本预算资金</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3528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C2755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F08F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6CB929">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E794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D91B7D">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994FD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49F7F84">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65CC1F">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16D64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其他资金</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3D7B9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67B16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4CEA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CCB027">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B41DA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07BEFF">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15E03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B8EB6F4">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AC3B66">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3CED9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旗市区拨款(本级)</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581AB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04F4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344CF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9A20F9">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F1068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6899AF">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F0ACB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876DA9">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58AB35">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495F22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中央拨款</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14C72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CA44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0F00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F1BEC6">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22416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53E291">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673CE9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03E1A41">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940F33">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3F698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自治区拨款</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C83AF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CE096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DDF7B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06AF9C">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86401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5D4B1D">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9E8C6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512F4E2">
        <w:tblPrEx>
          <w:shd w:val="clear" w:color="auto" w:fill="auto"/>
          <w:tblCellMar>
            <w:top w:w="0" w:type="dxa"/>
            <w:left w:w="0" w:type="dxa"/>
            <w:bottom w:w="0" w:type="dxa"/>
            <w:right w:w="0" w:type="dxa"/>
          </w:tblCellMar>
        </w:tblPrEx>
        <w:trPr>
          <w:trHeight w:val="327" w:hRule="atLeast"/>
        </w:trPr>
        <w:tc>
          <w:tcPr>
            <w:tcW w:w="1615"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67F4031">
            <w:pPr>
              <w:jc w:val="center"/>
              <w:rPr>
                <w:rFonts w:hint="eastAsia" w:ascii="宋体" w:hAnsi="宋体" w:eastAsia="宋体" w:cs="宋体"/>
                <w:i w:val="0"/>
                <w:color w:val="000000"/>
                <w:sz w:val="18"/>
                <w:szCs w:val="18"/>
                <w:u w:val="none"/>
              </w:rPr>
            </w:pPr>
          </w:p>
        </w:tc>
        <w:tc>
          <w:tcPr>
            <w:tcW w:w="184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D5CD20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其他拨款(非本级)</w:t>
            </w:r>
          </w:p>
        </w:tc>
        <w:tc>
          <w:tcPr>
            <w:tcW w:w="45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C4C8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0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829A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72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47F98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91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87AD3D">
            <w:pPr>
              <w:jc w:val="center"/>
              <w:rPr>
                <w:rFonts w:hint="eastAsia" w:ascii="宋体" w:hAnsi="宋体" w:eastAsia="宋体" w:cs="宋体"/>
                <w:i w:val="0"/>
                <w:color w:val="000000"/>
                <w:sz w:val="18"/>
                <w:szCs w:val="18"/>
                <w:u w:val="none"/>
              </w:rPr>
            </w:pPr>
          </w:p>
        </w:tc>
        <w:tc>
          <w:tcPr>
            <w:tcW w:w="103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282E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69FC9B">
            <w:pPr>
              <w:jc w:val="center"/>
              <w:rPr>
                <w:rFonts w:hint="eastAsia" w:ascii="宋体" w:hAnsi="宋体" w:eastAsia="宋体" w:cs="宋体"/>
                <w:i w:val="0"/>
                <w:color w:val="000000"/>
                <w:sz w:val="18"/>
                <w:szCs w:val="18"/>
                <w:u w:val="none"/>
              </w:rPr>
            </w:pP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EB08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2B9BB9E">
        <w:tblPrEx>
          <w:shd w:val="clear" w:color="auto" w:fill="auto"/>
          <w:tblCellMar>
            <w:top w:w="0" w:type="dxa"/>
            <w:left w:w="0" w:type="dxa"/>
            <w:bottom w:w="0" w:type="dxa"/>
            <w:right w:w="0" w:type="dxa"/>
          </w:tblCellMar>
        </w:tblPrEx>
        <w:trPr>
          <w:trHeight w:val="353" w:hRule="atLeast"/>
        </w:trPr>
        <w:tc>
          <w:tcPr>
            <w:tcW w:w="1615"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93672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资金支出情况（万元)</w:t>
            </w:r>
          </w:p>
        </w:tc>
        <w:tc>
          <w:tcPr>
            <w:tcW w:w="2080" w:type="dxa"/>
            <w:gridSpan w:val="6"/>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61E52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支出明细内容</w:t>
            </w:r>
          </w:p>
        </w:tc>
        <w:tc>
          <w:tcPr>
            <w:tcW w:w="1454" w:type="dxa"/>
            <w:gridSpan w:val="7"/>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54D38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型号</w:t>
            </w:r>
          </w:p>
        </w:tc>
        <w:tc>
          <w:tcPr>
            <w:tcW w:w="1571"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E27BE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计量单位</w:t>
            </w:r>
          </w:p>
        </w:tc>
        <w:tc>
          <w:tcPr>
            <w:tcW w:w="57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B29DB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066B5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单价</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F6732F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总额</w:t>
            </w:r>
          </w:p>
        </w:tc>
      </w:tr>
      <w:tr w14:paraId="04AA179F">
        <w:tblPrEx>
          <w:shd w:val="clear" w:color="auto" w:fill="auto"/>
          <w:tblCellMar>
            <w:top w:w="0" w:type="dxa"/>
            <w:left w:w="0" w:type="dxa"/>
            <w:bottom w:w="0" w:type="dxa"/>
            <w:right w:w="0" w:type="dxa"/>
          </w:tblCellMar>
        </w:tblPrEx>
        <w:trPr>
          <w:trHeight w:val="283" w:hRule="atLeast"/>
        </w:trPr>
        <w:tc>
          <w:tcPr>
            <w:tcW w:w="161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8480757">
            <w:pPr>
              <w:jc w:val="left"/>
              <w:rPr>
                <w:rFonts w:hint="eastAsia" w:ascii="宋体" w:hAnsi="宋体" w:eastAsia="宋体" w:cs="宋体"/>
                <w:i w:val="0"/>
                <w:color w:val="000000"/>
                <w:sz w:val="18"/>
                <w:szCs w:val="18"/>
                <w:u w:val="none"/>
              </w:rPr>
            </w:pPr>
          </w:p>
        </w:tc>
        <w:tc>
          <w:tcPr>
            <w:tcW w:w="2080" w:type="dxa"/>
            <w:gridSpan w:val="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148D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454" w:type="dxa"/>
            <w:gridSpan w:val="7"/>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F61D7F">
            <w:pPr>
              <w:jc w:val="center"/>
              <w:rPr>
                <w:rFonts w:hint="eastAsia" w:ascii="宋体" w:hAnsi="宋体" w:eastAsia="宋体" w:cs="宋体"/>
                <w:i w:val="0"/>
                <w:color w:val="000000"/>
                <w:sz w:val="18"/>
                <w:szCs w:val="18"/>
                <w:u w:val="none"/>
              </w:rPr>
            </w:pPr>
          </w:p>
        </w:tc>
        <w:tc>
          <w:tcPr>
            <w:tcW w:w="1571"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9EE6F0">
            <w:pPr>
              <w:jc w:val="center"/>
              <w:rPr>
                <w:rFonts w:hint="eastAsia" w:ascii="宋体" w:hAnsi="宋体" w:eastAsia="宋体" w:cs="宋体"/>
                <w:i w:val="0"/>
                <w:color w:val="000000"/>
                <w:sz w:val="18"/>
                <w:szCs w:val="18"/>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2F3E2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C2F18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D9694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r>
      <w:tr w14:paraId="286BAD58">
        <w:tblPrEx>
          <w:shd w:val="clear" w:color="auto" w:fill="auto"/>
          <w:tblCellMar>
            <w:top w:w="0" w:type="dxa"/>
            <w:left w:w="0" w:type="dxa"/>
            <w:bottom w:w="0" w:type="dxa"/>
            <w:right w:w="0" w:type="dxa"/>
          </w:tblCellMar>
        </w:tblPrEx>
        <w:trPr>
          <w:trHeight w:val="283" w:hRule="atLeast"/>
        </w:trPr>
        <w:tc>
          <w:tcPr>
            <w:tcW w:w="161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8F822A">
            <w:pPr>
              <w:jc w:val="left"/>
              <w:rPr>
                <w:rFonts w:hint="eastAsia" w:ascii="宋体" w:hAnsi="宋体" w:eastAsia="宋体" w:cs="宋体"/>
                <w:i w:val="0"/>
                <w:color w:val="000000"/>
                <w:sz w:val="18"/>
                <w:szCs w:val="18"/>
                <w:u w:val="none"/>
              </w:rPr>
            </w:pPr>
          </w:p>
        </w:tc>
        <w:tc>
          <w:tcPr>
            <w:tcW w:w="2080" w:type="dxa"/>
            <w:gridSpan w:val="6"/>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D188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天气预报播报费</w:t>
            </w:r>
          </w:p>
        </w:tc>
        <w:tc>
          <w:tcPr>
            <w:tcW w:w="1454" w:type="dxa"/>
            <w:gridSpan w:val="7"/>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186B3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571"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480E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57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F6112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5241E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66988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r>
      <w:tr w14:paraId="651B7E05">
        <w:tblPrEx>
          <w:shd w:val="clear" w:color="auto" w:fill="auto"/>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7070F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资金管理情况分析</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1E9DD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严格按照《呼伦贝尔市气象局地方经费管理办法》管理。</w:t>
            </w:r>
          </w:p>
        </w:tc>
      </w:tr>
      <w:tr w14:paraId="5B0097D1">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A658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备注</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F9865A">
            <w:pPr>
              <w:jc w:val="left"/>
              <w:rPr>
                <w:rFonts w:hint="eastAsia" w:ascii="宋体" w:hAnsi="宋体" w:eastAsia="宋体" w:cs="宋体"/>
                <w:i w:val="0"/>
                <w:color w:val="000000"/>
                <w:sz w:val="18"/>
                <w:szCs w:val="18"/>
                <w:u w:val="none"/>
              </w:rPr>
            </w:pPr>
          </w:p>
        </w:tc>
      </w:tr>
      <w:tr w14:paraId="21D56533">
        <w:tblPrEx>
          <w:shd w:val="clear" w:color="auto" w:fill="auto"/>
          <w:tblCellMar>
            <w:top w:w="0" w:type="dxa"/>
            <w:left w:w="0" w:type="dxa"/>
            <w:bottom w:w="0" w:type="dxa"/>
            <w:right w:w="0" w:type="dxa"/>
          </w:tblCellMar>
        </w:tblPrEx>
        <w:trPr>
          <w:trHeight w:val="499"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FACB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项目资金来源（全口径）</w:t>
            </w:r>
          </w:p>
        </w:tc>
        <w:tc>
          <w:tcPr>
            <w:tcW w:w="723"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3C7C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961"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D75D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w:t>
            </w:r>
          </w:p>
        </w:tc>
        <w:tc>
          <w:tcPr>
            <w:tcW w:w="396"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3F93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中央拨款</w:t>
            </w:r>
          </w:p>
        </w:tc>
        <w:tc>
          <w:tcPr>
            <w:tcW w:w="39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6939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713"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50A82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自治区拨款</w:t>
            </w:r>
          </w:p>
        </w:tc>
        <w:tc>
          <w:tcPr>
            <w:tcW w:w="836"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26C8A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8DC5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市本级拨款</w:t>
            </w:r>
          </w:p>
        </w:tc>
        <w:tc>
          <w:tcPr>
            <w:tcW w:w="57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34E8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280.00</w:t>
            </w:r>
          </w:p>
        </w:tc>
        <w:tc>
          <w:tcPr>
            <w:tcW w:w="77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130BD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其他（非本级）</w:t>
            </w:r>
          </w:p>
        </w:tc>
        <w:tc>
          <w:tcPr>
            <w:tcW w:w="4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980C6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r>
      <w:tr w14:paraId="781D4456">
        <w:tblPrEx>
          <w:shd w:val="clear" w:color="auto" w:fill="auto"/>
          <w:tblCellMar>
            <w:top w:w="0" w:type="dxa"/>
            <w:left w:w="0" w:type="dxa"/>
            <w:bottom w:w="0" w:type="dxa"/>
            <w:right w:w="0" w:type="dxa"/>
          </w:tblCellMar>
        </w:tblPrEx>
        <w:trPr>
          <w:trHeight w:val="339" w:hRule="atLeast"/>
        </w:trPr>
        <w:tc>
          <w:tcPr>
            <w:tcW w:w="8520" w:type="dxa"/>
            <w:gridSpan w:val="25"/>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04C225E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三、绩效目标情况</w:t>
            </w:r>
          </w:p>
        </w:tc>
      </w:tr>
      <w:tr w14:paraId="37C1CB1C">
        <w:tblPrEx>
          <w:shd w:val="clear" w:color="auto" w:fill="auto"/>
          <w:tblCellMar>
            <w:top w:w="0" w:type="dxa"/>
            <w:left w:w="0" w:type="dxa"/>
            <w:bottom w:w="0" w:type="dxa"/>
            <w:right w:w="0" w:type="dxa"/>
          </w:tblCellMar>
        </w:tblPrEx>
        <w:trPr>
          <w:trHeight w:val="730" w:hRule="atLeast"/>
        </w:trPr>
        <w:tc>
          <w:tcPr>
            <w:tcW w:w="4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C1F8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一级指标</w:t>
            </w:r>
          </w:p>
        </w:tc>
        <w:tc>
          <w:tcPr>
            <w:tcW w:w="48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596B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二级指标</w:t>
            </w:r>
          </w:p>
        </w:tc>
        <w:tc>
          <w:tcPr>
            <w:tcW w:w="6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5EF18A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三级指标</w:t>
            </w:r>
          </w:p>
        </w:tc>
        <w:tc>
          <w:tcPr>
            <w:tcW w:w="6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E6CC4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权重</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09F82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94672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得分(理由)依据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1184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预期目标</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D5459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实际结果</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413C6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指标说明</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9C850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评分标准</w:t>
            </w:r>
          </w:p>
        </w:tc>
      </w:tr>
      <w:tr w14:paraId="2CFBE87E">
        <w:tblPrEx>
          <w:shd w:val="clear" w:color="auto" w:fill="auto"/>
          <w:tblCellMar>
            <w:top w:w="0" w:type="dxa"/>
            <w:left w:w="0" w:type="dxa"/>
            <w:bottom w:w="0" w:type="dxa"/>
            <w:right w:w="0" w:type="dxa"/>
          </w:tblCellMar>
        </w:tblPrEx>
        <w:trPr>
          <w:trHeight w:val="1754" w:hRule="atLeast"/>
        </w:trPr>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678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投入</w:t>
            </w:r>
          </w:p>
        </w:tc>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8BC5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项目立项</w:t>
            </w: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D9E2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项目立项规范性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A88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80705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6525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项目申报符合流程，手续健全。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B19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符合立项要求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55C0A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C4A9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评价要点：①项目是否按照规定的程序申请设立；②所提交的文件、材料是否符合相关要求；③事前是否已经过必要的可行性研究、专家论证、风险评估、集体决策等</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FCB5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项目的申请、设立过程是否符合相关要求，用以反映和考核项目立项的规范情况</w:t>
            </w:r>
          </w:p>
        </w:tc>
      </w:tr>
      <w:tr w14:paraId="47A8E99A">
        <w:tblPrEx>
          <w:shd w:val="clear" w:color="auto" w:fill="auto"/>
          <w:tblCellMar>
            <w:top w:w="0" w:type="dxa"/>
            <w:left w:w="0" w:type="dxa"/>
            <w:bottom w:w="0" w:type="dxa"/>
            <w:right w:w="0" w:type="dxa"/>
          </w:tblCellMar>
        </w:tblPrEx>
        <w:trPr>
          <w:trHeight w:val="90"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23A6C">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EFEC3">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BEF7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绩效目标合理性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42EA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0FF2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C17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绩效指标设置符合国家相关法律及地方法规，指标设置与项目密切相关，项目预期产出效益和效果是否符合正常的业绩水平。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A90A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项目预期产出效益和效果符合正常的业绩水平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7A12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290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 ①是否符合国家相关法律法规、国民经济发展规划和党委政府决策； ②是否与项目实施单位或委托单位职责密切相关； ③项目是否为促进事业发展所必需； ④项目预期产出效益和效果是否符合正常的业绩水平。</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4B1E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项目所设定的绩效目标是否依据充分，是否符合客观实际，用以反映和考核项目绩效目标与项目实施的相符情况</w:t>
            </w:r>
          </w:p>
        </w:tc>
      </w:tr>
      <w:tr w14:paraId="227ED515">
        <w:tblPrEx>
          <w:shd w:val="clear" w:color="auto" w:fill="auto"/>
          <w:tblCellMar>
            <w:top w:w="0" w:type="dxa"/>
            <w:left w:w="0" w:type="dxa"/>
            <w:bottom w:w="0" w:type="dxa"/>
            <w:right w:w="0" w:type="dxa"/>
          </w:tblCellMar>
        </w:tblPrEx>
        <w:trPr>
          <w:trHeight w:val="277"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85218">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B5324">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5894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绩效指标明确性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354C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2E5D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99311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数量、效益、满意度指标均已细化。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8C2B5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与项目年度任务数或计划数相对应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B48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A6B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 ①是否将项目绩效目标细化分解为具体的绩效指标； ②是否通过清晰、可衡量的指标值予以体现； ③是否与项目年度任务数或计划数相对应； ④是否与预算确定的项目投资额或资金量相匹配。</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9AE2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依据绩效目标设定的绩效指标是否清晰、细化、可衡量等，用以反映和考核项目绩效目标的明细化情况</w:t>
            </w:r>
          </w:p>
        </w:tc>
      </w:tr>
      <w:tr w14:paraId="37848A1D">
        <w:tblPrEx>
          <w:shd w:val="clear" w:color="auto" w:fill="auto"/>
          <w:tblCellMar>
            <w:top w:w="0" w:type="dxa"/>
            <w:left w:w="0" w:type="dxa"/>
            <w:bottom w:w="0" w:type="dxa"/>
            <w:right w:w="0" w:type="dxa"/>
          </w:tblCellMar>
        </w:tblPrEx>
        <w:trPr>
          <w:trHeight w:val="1672"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B831C">
            <w:pPr>
              <w:jc w:val="center"/>
              <w:rPr>
                <w:rFonts w:hint="eastAsia" w:ascii="宋体" w:hAnsi="宋体" w:eastAsia="宋体" w:cs="宋体"/>
                <w:i w:val="0"/>
                <w:color w:val="000000"/>
                <w:sz w:val="18"/>
                <w:szCs w:val="18"/>
                <w:u w:val="none"/>
              </w:rPr>
            </w:pPr>
          </w:p>
        </w:tc>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65B2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资金落实</w:t>
            </w: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3398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资金到位率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A961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1186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69B0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资金到位率100%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3C7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资金申请及时，支出合规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401D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D93D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资金到位率=（实际到位资金/计划投入资金）×100%。100%得4分，90%以上得3分，80%以上得1分，低于80%得0分</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0E3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实际到位资金与计划投入资金的比率，用以反映和考核资金落实情况对项目实施的总体保障程度</w:t>
            </w:r>
          </w:p>
        </w:tc>
      </w:tr>
      <w:tr w14:paraId="24F8D0E3">
        <w:tblPrEx>
          <w:shd w:val="clear" w:color="auto" w:fill="auto"/>
          <w:tblCellMar>
            <w:top w:w="0" w:type="dxa"/>
            <w:left w:w="0" w:type="dxa"/>
            <w:bottom w:w="0" w:type="dxa"/>
            <w:right w:w="0" w:type="dxa"/>
          </w:tblCellMar>
        </w:tblPrEx>
        <w:trPr>
          <w:trHeight w:val="1467"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60738">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1B9A0">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500D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到位及时率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A4910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8F5C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49ED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到位及时率100%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10A3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资金到位及时，支出合规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7E8D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4C8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到位及时率=（及时到位资金/应到位资金）×100%。100%得3分，90%以上得2分，80%以上得1分，低于80%得0分</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D59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及时到位资金与应到位资金的比率，用以反映和考核项目资金落实的及时性程度</w:t>
            </w:r>
          </w:p>
        </w:tc>
      </w:tr>
      <w:tr w14:paraId="18171CC5">
        <w:tblPrEx>
          <w:shd w:val="clear" w:color="auto" w:fill="auto"/>
          <w:tblCellMar>
            <w:top w:w="0" w:type="dxa"/>
            <w:left w:w="0" w:type="dxa"/>
            <w:bottom w:w="0" w:type="dxa"/>
            <w:right w:w="0" w:type="dxa"/>
          </w:tblCellMar>
        </w:tblPrEx>
        <w:trPr>
          <w:trHeight w:val="971" w:hRule="atLeast"/>
        </w:trPr>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9BD8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过程</w:t>
            </w:r>
          </w:p>
        </w:tc>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C83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财务管理</w:t>
            </w: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A7A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资金使用率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73BF5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435B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A18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资金使用率为100%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B801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项目资金全部用于天气预报播报支出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530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E69F7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资金使用率=[（实际支付资金+预留保证金）/实际到位资金]×100%</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0642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主要反映项目资金的使用情况</w:t>
            </w:r>
          </w:p>
        </w:tc>
      </w:tr>
      <w:tr w14:paraId="55644F93">
        <w:tblPrEx>
          <w:shd w:val="clear" w:color="auto" w:fill="auto"/>
          <w:tblCellMar>
            <w:top w:w="0" w:type="dxa"/>
            <w:left w:w="0" w:type="dxa"/>
            <w:bottom w:w="0" w:type="dxa"/>
            <w:right w:w="0" w:type="dxa"/>
          </w:tblCellMar>
        </w:tblPrEx>
        <w:trPr>
          <w:trHeight w:val="5412"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87C84">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190D3">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04B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资金使用合规性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76E2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54F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07D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资金支出符合国家财经法规和财务管理制度以及有关专项资金管理办法的规定；资金的拨付有完整的审批程序和手续；经过评估认证；符合项目预算批复或合同规定的用途；无截留、挤占、挪用、虚列支出等情况。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9F5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项目支出符合《呼伦贝尔市气象部门预算管理暂行办法》、《呼伦贝尔市气象局地方经费管理办法（试行）》的要求。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A152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D19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符合国家财经法规和财务管理制度以及有关专项资金管理办法的规定；②资金的拨付是否有完整的审批程序和手续；③项目的重大开支是否经过评估认证；④是否符合项目预算批复或合同规定的用途；⑤是否存在截留、挤占、挪用、虚列支出等情况。满分5分，发现一条违规操作扣1分，扣完为止</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47B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项目资金使用是否符合相关的财务管理制度规定，用以反映和考核项目资金的规范运行情况</w:t>
            </w:r>
          </w:p>
        </w:tc>
      </w:tr>
      <w:tr w14:paraId="634D40C8">
        <w:tblPrEx>
          <w:shd w:val="clear" w:color="auto" w:fill="auto"/>
          <w:tblCellMar>
            <w:top w:w="0" w:type="dxa"/>
            <w:left w:w="0" w:type="dxa"/>
            <w:bottom w:w="0" w:type="dxa"/>
            <w:right w:w="0" w:type="dxa"/>
          </w:tblCellMar>
        </w:tblPrEx>
        <w:trPr>
          <w:trHeight w:val="2463"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C6181">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4C1BB">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DB5A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财务监控有效性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B7E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C202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75A3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已制定或具有相应的监控机制；采取了相应的财务检查等必要的监控措施或手段。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430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项目支出符合《呼伦贝尔市气象部门预算管理暂行办法》、《呼伦贝尔市气象局地方经费管理办法（试行）》的要求。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1C0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8A2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评价要点：①是否已制定或具有相应的监控机制；②是否采取了相应的财务检查等必要的监控措施或手段。满足一项得1分，不满足0分</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0C7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项目实施单位是否为保障资金的安全、规范运行而采取了必要的监控措施，用以反映和考核项目实施单位对资金运行的控制情况</w:t>
            </w:r>
          </w:p>
        </w:tc>
      </w:tr>
      <w:tr w14:paraId="6AF8460F">
        <w:tblPrEx>
          <w:shd w:val="clear" w:color="auto" w:fill="auto"/>
          <w:tblCellMar>
            <w:top w:w="0" w:type="dxa"/>
            <w:left w:w="0" w:type="dxa"/>
            <w:bottom w:w="0" w:type="dxa"/>
            <w:right w:w="0" w:type="dxa"/>
          </w:tblCellMar>
        </w:tblPrEx>
        <w:trPr>
          <w:trHeight w:val="1738"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C1C9E2">
            <w:pPr>
              <w:jc w:val="center"/>
              <w:rPr>
                <w:rFonts w:hint="eastAsia" w:ascii="宋体" w:hAnsi="宋体" w:eastAsia="宋体" w:cs="宋体"/>
                <w:i w:val="0"/>
                <w:color w:val="000000"/>
                <w:sz w:val="18"/>
                <w:szCs w:val="18"/>
                <w:u w:val="none"/>
              </w:rPr>
            </w:pPr>
          </w:p>
        </w:tc>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4E4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业务管理</w:t>
            </w: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5D3FB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管理制度健全性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C7E8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293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01A5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已具有相关业务管理制度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F22EE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业务管理制度是否合法、合规、完整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AFC1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501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评价要点：①是否已制定或具有相应的业务管理制度；②业务管理制度是否合法、合规、完整。满足一项得2分</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752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项目实施单位的业务管理制度是否健全，用以反映和考核业务管理制度对项目顺利实施的保障情况</w:t>
            </w:r>
          </w:p>
        </w:tc>
      </w:tr>
      <w:tr w14:paraId="76B79818">
        <w:tblPrEx>
          <w:shd w:val="clear" w:color="auto" w:fill="auto"/>
          <w:tblCellMar>
            <w:top w:w="0" w:type="dxa"/>
            <w:left w:w="0" w:type="dxa"/>
            <w:bottom w:w="0" w:type="dxa"/>
            <w:right w:w="0" w:type="dxa"/>
          </w:tblCellMar>
        </w:tblPrEx>
        <w:trPr>
          <w:trHeight w:val="2023"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514E4">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ECEDE">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15B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制度执行有效性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CFC2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C9CE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C19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已有业务管理制度切实可行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8E1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遵守相关法律法规和业务管理规定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4DF5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53A5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遵守相关法律法规和业务管理规定；②项目调整及支出调整手续是否完备；③项目合同书、验收报告、技术鉴定等资料是否齐全并及时归档；④项目实施的人员条件、场地设备、信息支撑等是否落实到位。</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FFB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项目实施是否符合相关业务管理规定，用以反映和考核业务管理制度的有效执行情况</w:t>
            </w:r>
          </w:p>
        </w:tc>
      </w:tr>
      <w:tr w14:paraId="5B8BF104">
        <w:tblPrEx>
          <w:shd w:val="clear" w:color="auto" w:fill="auto"/>
          <w:tblCellMar>
            <w:top w:w="0" w:type="dxa"/>
            <w:left w:w="0" w:type="dxa"/>
            <w:bottom w:w="0" w:type="dxa"/>
            <w:right w:w="0" w:type="dxa"/>
          </w:tblCellMar>
        </w:tblPrEx>
        <w:trPr>
          <w:trHeight w:val="2081"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E58A8">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AEB3D">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1AA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项目质量可控性</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EB4B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5B70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E86BC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已制定或具有相应的项目质量要求或标准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7213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质量检查、验收等必需的控制措施顺利实施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AC8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10D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评价要点：①是否已制定或具有相应的项目质量要求或标准；②是否采取了相应的项目质量检查、验收等必需的控制措施或手段。满足一项得2分</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A56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项目实施单位是否为达到项目质量要求而采取了必需的措施,用以反映和考核项目实施单位对项目质量的控制情况</w:t>
            </w:r>
          </w:p>
        </w:tc>
      </w:tr>
      <w:tr w14:paraId="7FF039F3">
        <w:tblPrEx>
          <w:shd w:val="clear" w:color="auto" w:fill="auto"/>
          <w:tblCellMar>
            <w:top w:w="0" w:type="dxa"/>
            <w:left w:w="0" w:type="dxa"/>
            <w:bottom w:w="0" w:type="dxa"/>
            <w:right w:w="0" w:type="dxa"/>
          </w:tblCellMar>
        </w:tblPrEx>
        <w:trPr>
          <w:trHeight w:val="2586" w:hRule="atLeast"/>
        </w:trPr>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CE3DE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w:t>
            </w:r>
          </w:p>
        </w:tc>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F7890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项目产出</w:t>
            </w: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F8D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3945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5.00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1775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B62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400C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DF8A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88E46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实际完成率=（实际产出数/计划产出数）×100%。 实际产出数：一定时期（本年度或项目期）内项目实际产出的产品或提供的服务数量。 计划产出数：项目绩效目标确定的在一定时期（本年度或项目期）内计划产出的产品或提供的服务数量。</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711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项目实施的实际产出数与计划产出数的比率，用以反映和考核项目产出数量目标的实现程度</w:t>
            </w:r>
          </w:p>
        </w:tc>
      </w:tr>
      <w:tr w14:paraId="10624030">
        <w:tblPrEx>
          <w:shd w:val="clear" w:color="auto" w:fill="auto"/>
        </w:tblPrEx>
        <w:trPr>
          <w:trHeight w:val="2153"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C0DB5">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D7410A">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DB17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完成及时率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50DF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D968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E3DA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2826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555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66DF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完成及时率=[（计划完成时间-实际完成时间）/计划完成时间]×100%。 实际完成时间：项目实施单位完成该项目实际所耗用的时间。 计划完成时间：按照项目实施计划或相关规定完成该项目所需的时间。</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4573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项目实际提前完成时间与计划完成时间的比率，用以反映和考核项目产出时效目标的实现程度</w:t>
            </w:r>
          </w:p>
        </w:tc>
      </w:tr>
      <w:tr w14:paraId="1444E117">
        <w:tblPrEx>
          <w:shd w:val="clear" w:color="auto" w:fill="auto"/>
          <w:tblCellMar>
            <w:top w:w="0" w:type="dxa"/>
            <w:left w:w="0" w:type="dxa"/>
            <w:bottom w:w="0" w:type="dxa"/>
            <w:right w:w="0" w:type="dxa"/>
          </w:tblCellMar>
        </w:tblPrEx>
        <w:trPr>
          <w:trHeight w:val="1456"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3E91D1">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E42CAD">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9CC77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质量达标率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D02F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E3F6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9613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已对项目进行验收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7A4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项目验收合格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B551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723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评价项目是否进行验收，验收情况。验收合格得4分</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02B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项目完成的质量验收情况，用以反映和考核项目产出质量目标的实现程度</w:t>
            </w:r>
          </w:p>
        </w:tc>
      </w:tr>
      <w:tr w14:paraId="2CF3C6B0">
        <w:tblPrEx>
          <w:shd w:val="clear" w:color="auto" w:fill="auto"/>
          <w:tblCellMar>
            <w:top w:w="0" w:type="dxa"/>
            <w:left w:w="0" w:type="dxa"/>
            <w:bottom w:w="0" w:type="dxa"/>
            <w:right w:w="0" w:type="dxa"/>
          </w:tblCellMar>
        </w:tblPrEx>
        <w:trPr>
          <w:trHeight w:val="1086"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008AB">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54B820">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CD5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成本节约率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0EA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FE27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0AF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无追加预算情况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CAE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成本节约率控制在1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C890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F7FD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项目实际投资和预算对比情况。按项目实际情况酌情打分</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41EA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项目完成后的实际成本与预算对比情况</w:t>
            </w:r>
          </w:p>
        </w:tc>
      </w:tr>
      <w:tr w14:paraId="5DC1847C">
        <w:tblPrEx>
          <w:shd w:val="clear" w:color="auto" w:fill="auto"/>
          <w:tblCellMar>
            <w:top w:w="0" w:type="dxa"/>
            <w:left w:w="0" w:type="dxa"/>
            <w:bottom w:w="0" w:type="dxa"/>
            <w:right w:w="0" w:type="dxa"/>
          </w:tblCellMar>
        </w:tblPrEx>
        <w:trPr>
          <w:trHeight w:val="1612" w:hRule="atLeast"/>
        </w:trPr>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944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效果</w:t>
            </w:r>
          </w:p>
        </w:tc>
        <w:tc>
          <w:tcPr>
            <w:tcW w:w="4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C8DD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项目效益</w:t>
            </w: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4C46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E5E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7007B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38D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带动旅游行业发展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4458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推动旅游行业持续发展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0B4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20A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此项指标为设置项目支出绩效评价指标时必须考虑的共性要素，可根据项目实际并结合绩效目标设立情况有选择的进行设置，并将其细化为相应的个性化指标。</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07A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项目实施对社会发展所带来的直接或间接影响情况</w:t>
            </w:r>
          </w:p>
        </w:tc>
      </w:tr>
      <w:tr w14:paraId="7F2519D6">
        <w:tblPrEx>
          <w:shd w:val="clear" w:color="auto" w:fill="auto"/>
          <w:tblCellMar>
            <w:top w:w="0" w:type="dxa"/>
            <w:left w:w="0" w:type="dxa"/>
            <w:bottom w:w="0" w:type="dxa"/>
            <w:right w:w="0" w:type="dxa"/>
          </w:tblCellMar>
        </w:tblPrEx>
        <w:trPr>
          <w:trHeight w:val="1643"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81D44">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A73F6">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4F82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生态效益</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A3D5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89769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55D8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项目实施符合当地生态环境保护要求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92B0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对生态环境无污染及影响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BAC9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15E6A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此项指标为设置项目支出绩效评价指标时必须考虑的共性要素，可根据项目实际并结合绩效目标设立情况有选择的进行设置，并将其细化为相应的个性化指标。</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678C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项目实施对生态环境所带来的直接或间接影响情况</w:t>
            </w:r>
          </w:p>
        </w:tc>
      </w:tr>
      <w:tr w14:paraId="759F6029">
        <w:tblPrEx>
          <w:shd w:val="clear" w:color="auto" w:fill="auto"/>
        </w:tblPrEx>
        <w:trPr>
          <w:trHeight w:val="1666"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51987">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6860A">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1DC0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可持续影响</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78C6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8231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1E61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符合城市可持续发展战略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9E20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符合城市可持续发展战略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28E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48A8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此项指标为设置项目支出绩效评价指标时必须考虑的共性要素，可根据项目实际并结合绩效目标设立情况有选择的进行设置，并将其细化为相应的个性化指标。</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D32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项目后续运行及成效发挥的可持续影响情况</w:t>
            </w:r>
          </w:p>
        </w:tc>
      </w:tr>
      <w:tr w14:paraId="66A9A393">
        <w:tblPrEx>
          <w:shd w:val="clear" w:color="auto" w:fill="auto"/>
          <w:tblCellMar>
            <w:top w:w="0" w:type="dxa"/>
            <w:left w:w="0" w:type="dxa"/>
            <w:bottom w:w="0" w:type="dxa"/>
            <w:right w:w="0" w:type="dxa"/>
          </w:tblCellMar>
        </w:tblPrEx>
        <w:trPr>
          <w:trHeight w:val="1238"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872C1">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41FB9">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A868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或服务对象满意度</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1427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92A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52D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社会公众满意度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DCB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全年推广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F286C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4EB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社会公众或服务对象是指因该项目实施而受到影响的部门（单位）、群体或个人。一般采取社会调查的方式。</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BDAF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社会公众或服务对象对项目实施效果的满意程度</w:t>
            </w:r>
          </w:p>
        </w:tc>
      </w:tr>
      <w:tr w14:paraId="3D88F533">
        <w:tblPrEx>
          <w:shd w:val="clear" w:color="auto" w:fill="auto"/>
          <w:tblCellMar>
            <w:top w:w="0" w:type="dxa"/>
            <w:left w:w="0" w:type="dxa"/>
            <w:bottom w:w="0" w:type="dxa"/>
            <w:right w:w="0" w:type="dxa"/>
          </w:tblCellMar>
        </w:tblPrEx>
        <w:trPr>
          <w:trHeight w:val="1763" w:hRule="atLeast"/>
        </w:trPr>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8BDBB">
            <w:pPr>
              <w:jc w:val="center"/>
              <w:rPr>
                <w:rFonts w:hint="eastAsia" w:ascii="宋体" w:hAnsi="宋体" w:eastAsia="宋体" w:cs="宋体"/>
                <w:i w:val="0"/>
                <w:color w:val="000000"/>
                <w:sz w:val="18"/>
                <w:szCs w:val="18"/>
                <w:u w:val="none"/>
              </w:rPr>
            </w:pPr>
          </w:p>
        </w:tc>
        <w:tc>
          <w:tcPr>
            <w:tcW w:w="4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B0FB6">
            <w:pPr>
              <w:jc w:val="center"/>
              <w:rPr>
                <w:rFonts w:hint="eastAsia" w:ascii="宋体" w:hAnsi="宋体" w:eastAsia="宋体" w:cs="宋体"/>
                <w:i w:val="0"/>
                <w:color w:val="000000"/>
                <w:sz w:val="18"/>
                <w:szCs w:val="18"/>
                <w:u w:val="none"/>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48C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1AF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w:t>
            </w:r>
          </w:p>
        </w:tc>
        <w:tc>
          <w:tcPr>
            <w:tcW w:w="52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F116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A91B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推广城市名片，带动旅游经济发展 </w:t>
            </w:r>
          </w:p>
        </w:tc>
        <w:tc>
          <w:tcPr>
            <w:tcW w:w="9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740C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推广城市名片，带动旅游经济发展   </w:t>
            </w:r>
          </w:p>
        </w:tc>
        <w:tc>
          <w:tcPr>
            <w:tcW w:w="6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1AB0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达到预期效果   </w:t>
            </w:r>
          </w:p>
        </w:tc>
        <w:tc>
          <w:tcPr>
            <w:tcW w:w="20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803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此项指标为设置项目支出绩效评价指标时必须考虑的共性要素，可根据项目实际并结合绩效目标设立情况有选择的进行设置，并将其细化为相应的个性化指标。</w:t>
            </w:r>
          </w:p>
        </w:tc>
        <w:tc>
          <w:tcPr>
            <w:tcW w:w="123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54C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项目实施对经济发展所带来的直接或间接影响情况</w:t>
            </w:r>
          </w:p>
        </w:tc>
      </w:tr>
      <w:tr w14:paraId="06CA477E">
        <w:tblPrEx>
          <w:shd w:val="clear" w:color="auto" w:fill="auto"/>
          <w:tblCellMar>
            <w:top w:w="0" w:type="dxa"/>
            <w:left w:w="0" w:type="dxa"/>
            <w:bottom w:w="0" w:type="dxa"/>
            <w:right w:w="0" w:type="dxa"/>
          </w:tblCellMar>
        </w:tblPrEx>
        <w:trPr>
          <w:trHeight w:val="312" w:hRule="atLeast"/>
        </w:trPr>
        <w:tc>
          <w:tcPr>
            <w:tcW w:w="8520" w:type="dxa"/>
            <w:gridSpan w:val="2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6625C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四、项目绩效综合评价意见</w:t>
            </w:r>
          </w:p>
        </w:tc>
      </w:tr>
      <w:tr w14:paraId="58CF3CBA">
        <w:tblPrEx>
          <w:shd w:val="clear" w:color="auto" w:fill="auto"/>
          <w:tblCellMar>
            <w:top w:w="0" w:type="dxa"/>
            <w:left w:w="0" w:type="dxa"/>
            <w:bottom w:w="0" w:type="dxa"/>
            <w:right w:w="0" w:type="dxa"/>
          </w:tblCellMar>
        </w:tblPrEx>
        <w:trPr>
          <w:trHeight w:val="312" w:hRule="atLeast"/>
        </w:trPr>
        <w:tc>
          <w:tcPr>
            <w:tcW w:w="1615"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37E6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评价组成员</w:t>
            </w:r>
          </w:p>
        </w:tc>
        <w:tc>
          <w:tcPr>
            <w:tcW w:w="168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E52BE4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姓名</w:t>
            </w:r>
          </w:p>
        </w:tc>
        <w:tc>
          <w:tcPr>
            <w:tcW w:w="1508" w:type="dxa"/>
            <w:gridSpan w:val="8"/>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CEB67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职称</w:t>
            </w:r>
          </w:p>
        </w:tc>
        <w:tc>
          <w:tcPr>
            <w:tcW w:w="3143" w:type="dxa"/>
            <w:gridSpan w:val="8"/>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7B98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工作单位</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EA28D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签名</w:t>
            </w:r>
          </w:p>
        </w:tc>
      </w:tr>
      <w:tr w14:paraId="124EE017">
        <w:tblPrEx>
          <w:shd w:val="clear" w:color="auto" w:fill="auto"/>
          <w:tblCellMar>
            <w:top w:w="0" w:type="dxa"/>
            <w:left w:w="0" w:type="dxa"/>
            <w:bottom w:w="0" w:type="dxa"/>
            <w:right w:w="0" w:type="dxa"/>
          </w:tblCellMar>
        </w:tblPrEx>
        <w:trPr>
          <w:trHeight w:val="312" w:hRule="atLeast"/>
        </w:trPr>
        <w:tc>
          <w:tcPr>
            <w:tcW w:w="161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206E8F">
            <w:pPr>
              <w:jc w:val="center"/>
              <w:rPr>
                <w:rFonts w:hint="eastAsia" w:ascii="宋体" w:hAnsi="宋体" w:eastAsia="宋体" w:cs="宋体"/>
                <w:i w:val="0"/>
                <w:color w:val="000000"/>
                <w:sz w:val="18"/>
                <w:szCs w:val="18"/>
                <w:u w:val="none"/>
              </w:rPr>
            </w:pPr>
          </w:p>
        </w:tc>
        <w:tc>
          <w:tcPr>
            <w:tcW w:w="168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9A440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张扬</w:t>
            </w:r>
          </w:p>
        </w:tc>
        <w:tc>
          <w:tcPr>
            <w:tcW w:w="1508" w:type="dxa"/>
            <w:gridSpan w:val="8"/>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AB73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科员</w:t>
            </w:r>
          </w:p>
        </w:tc>
        <w:tc>
          <w:tcPr>
            <w:tcW w:w="3143" w:type="dxa"/>
            <w:gridSpan w:val="8"/>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0CC4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呼伦贝尔市气象局</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2C00083">
            <w:pPr>
              <w:jc w:val="center"/>
              <w:rPr>
                <w:rFonts w:hint="eastAsia" w:ascii="宋体" w:hAnsi="宋体" w:eastAsia="宋体" w:cs="宋体"/>
                <w:i w:val="0"/>
                <w:color w:val="000000"/>
                <w:sz w:val="18"/>
                <w:szCs w:val="18"/>
                <w:u w:val="none"/>
              </w:rPr>
            </w:pPr>
          </w:p>
        </w:tc>
      </w:tr>
      <w:tr w14:paraId="117CF307">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9407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综合评价得分</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DF514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14:paraId="3685FAA0">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CB215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综合绩效等级</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50EA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w:t>
            </w:r>
          </w:p>
        </w:tc>
      </w:tr>
      <w:tr w14:paraId="277DCB97">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A783C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综合评价意见</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2D11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同意</w:t>
            </w:r>
          </w:p>
        </w:tc>
      </w:tr>
      <w:tr w14:paraId="7C122FD3">
        <w:tblPrEx>
          <w:shd w:val="clear" w:color="auto" w:fill="auto"/>
          <w:tblCellMar>
            <w:top w:w="0" w:type="dxa"/>
            <w:left w:w="0" w:type="dxa"/>
            <w:bottom w:w="0" w:type="dxa"/>
            <w:right w:w="0" w:type="dxa"/>
          </w:tblCellMar>
        </w:tblPrEx>
        <w:trPr>
          <w:trHeight w:val="312" w:hRule="atLeast"/>
        </w:trPr>
        <w:tc>
          <w:tcPr>
            <w:tcW w:w="1615" w:type="dxa"/>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8CE0E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综合评价问题</w:t>
            </w:r>
          </w:p>
        </w:tc>
        <w:tc>
          <w:tcPr>
            <w:tcW w:w="6905" w:type="dxa"/>
            <w:gridSpan w:val="2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1A109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无</w:t>
            </w:r>
          </w:p>
        </w:tc>
      </w:tr>
      <w:tr w14:paraId="1C2D0E40">
        <w:tblPrEx>
          <w:shd w:val="clear" w:color="auto" w:fill="auto"/>
          <w:tblCellMar>
            <w:top w:w="0" w:type="dxa"/>
            <w:left w:w="0" w:type="dxa"/>
            <w:bottom w:w="0" w:type="dxa"/>
            <w:right w:w="0" w:type="dxa"/>
          </w:tblCellMar>
        </w:tblPrEx>
        <w:trPr>
          <w:trHeight w:val="339" w:hRule="atLeast"/>
        </w:trPr>
        <w:tc>
          <w:tcPr>
            <w:tcW w:w="8520" w:type="dxa"/>
            <w:gridSpan w:val="2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02A32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审核意见</w:t>
            </w:r>
          </w:p>
        </w:tc>
      </w:tr>
      <w:tr w14:paraId="6F5F9CBA">
        <w:tblPrEx>
          <w:shd w:val="clear" w:color="auto" w:fill="auto"/>
          <w:tblCellMar>
            <w:top w:w="0" w:type="dxa"/>
            <w:left w:w="0" w:type="dxa"/>
            <w:bottom w:w="0" w:type="dxa"/>
            <w:right w:w="0" w:type="dxa"/>
          </w:tblCellMar>
        </w:tblPrEx>
        <w:trPr>
          <w:trHeight w:val="307" w:hRule="atLeast"/>
        </w:trPr>
        <w:tc>
          <w:tcPr>
            <w:tcW w:w="1615"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040D6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申报单位签章</w:t>
            </w:r>
          </w:p>
        </w:tc>
        <w:tc>
          <w:tcPr>
            <w:tcW w:w="2807" w:type="dxa"/>
            <w:gridSpan w:val="9"/>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47EEC7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提交评审</w:t>
            </w:r>
          </w:p>
        </w:tc>
        <w:tc>
          <w:tcPr>
            <w:tcW w:w="1832" w:type="dxa"/>
            <w:gridSpan w:val="8"/>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F944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业务科室审核意见</w:t>
            </w:r>
          </w:p>
        </w:tc>
        <w:tc>
          <w:tcPr>
            <w:tcW w:w="2266" w:type="dxa"/>
            <w:gridSpan w:val="5"/>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7C0F07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通过</w:t>
            </w:r>
          </w:p>
        </w:tc>
      </w:tr>
      <w:tr w14:paraId="404E702F">
        <w:tblPrEx>
          <w:shd w:val="clear" w:color="auto" w:fill="auto"/>
          <w:tblCellMar>
            <w:top w:w="0" w:type="dxa"/>
            <w:left w:w="0" w:type="dxa"/>
            <w:bottom w:w="0" w:type="dxa"/>
            <w:right w:w="0" w:type="dxa"/>
          </w:tblCellMar>
        </w:tblPrEx>
        <w:trPr>
          <w:trHeight w:val="260" w:hRule="atLeast"/>
        </w:trPr>
        <w:tc>
          <w:tcPr>
            <w:tcW w:w="161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246CE25">
            <w:pPr>
              <w:jc w:val="left"/>
              <w:rPr>
                <w:rFonts w:hint="eastAsia" w:ascii="宋体" w:hAnsi="宋体" w:eastAsia="宋体" w:cs="宋体"/>
                <w:i w:val="0"/>
                <w:color w:val="000000"/>
                <w:sz w:val="18"/>
                <w:szCs w:val="18"/>
                <w:u w:val="none"/>
              </w:rPr>
            </w:pPr>
          </w:p>
        </w:tc>
        <w:tc>
          <w:tcPr>
            <w:tcW w:w="2807" w:type="dxa"/>
            <w:gridSpan w:val="9"/>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6F294C75">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申报单位：呼伦贝尔市气象局机关  </w:t>
            </w:r>
          </w:p>
        </w:tc>
        <w:tc>
          <w:tcPr>
            <w:tcW w:w="1832" w:type="dxa"/>
            <w:gridSpan w:val="8"/>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561659">
            <w:pPr>
              <w:jc w:val="left"/>
              <w:rPr>
                <w:rFonts w:hint="eastAsia" w:ascii="宋体" w:hAnsi="宋体" w:eastAsia="宋体" w:cs="宋体"/>
                <w:i w:val="0"/>
                <w:color w:val="000000"/>
                <w:sz w:val="18"/>
                <w:szCs w:val="18"/>
                <w:u w:val="none"/>
              </w:rPr>
            </w:pPr>
          </w:p>
        </w:tc>
        <w:tc>
          <w:tcPr>
            <w:tcW w:w="2266" w:type="dxa"/>
            <w:gridSpan w:val="5"/>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0E625884">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审核人：</w:t>
            </w:r>
          </w:p>
        </w:tc>
      </w:tr>
      <w:tr w14:paraId="66F21BF2">
        <w:tblPrEx>
          <w:shd w:val="clear" w:color="auto" w:fill="auto"/>
          <w:tblCellMar>
            <w:top w:w="0" w:type="dxa"/>
            <w:left w:w="0" w:type="dxa"/>
            <w:bottom w:w="0" w:type="dxa"/>
            <w:right w:w="0" w:type="dxa"/>
          </w:tblCellMar>
        </w:tblPrEx>
        <w:trPr>
          <w:trHeight w:val="509" w:hRule="atLeast"/>
        </w:trPr>
        <w:tc>
          <w:tcPr>
            <w:tcW w:w="161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8886FF">
            <w:pPr>
              <w:jc w:val="left"/>
              <w:rPr>
                <w:rFonts w:hint="eastAsia" w:ascii="宋体" w:hAnsi="宋体" w:eastAsia="宋体" w:cs="宋体"/>
                <w:i w:val="0"/>
                <w:color w:val="000000"/>
                <w:sz w:val="18"/>
                <w:szCs w:val="18"/>
                <w:u w:val="none"/>
              </w:rPr>
            </w:pPr>
          </w:p>
        </w:tc>
        <w:tc>
          <w:tcPr>
            <w:tcW w:w="2807" w:type="dxa"/>
            <w:gridSpan w:val="9"/>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12717E09">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单位签章：                                      2019  年   5月   28日</w:t>
            </w:r>
          </w:p>
        </w:tc>
        <w:tc>
          <w:tcPr>
            <w:tcW w:w="1832" w:type="dxa"/>
            <w:gridSpan w:val="8"/>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DD1FC2">
            <w:pPr>
              <w:jc w:val="left"/>
              <w:rPr>
                <w:rFonts w:hint="eastAsia" w:ascii="宋体" w:hAnsi="宋体" w:eastAsia="宋体" w:cs="宋体"/>
                <w:i w:val="0"/>
                <w:color w:val="000000"/>
                <w:sz w:val="18"/>
                <w:szCs w:val="18"/>
                <w:u w:val="none"/>
              </w:rPr>
            </w:pPr>
          </w:p>
        </w:tc>
        <w:tc>
          <w:tcPr>
            <w:tcW w:w="2266" w:type="dxa"/>
            <w:gridSpan w:val="5"/>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416E2E91">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科室签章：                                                     2019  年   5月   27日</w:t>
            </w:r>
          </w:p>
        </w:tc>
      </w:tr>
      <w:tr w14:paraId="2148C59B">
        <w:tblPrEx>
          <w:shd w:val="clear" w:color="auto" w:fill="auto"/>
          <w:tblCellMar>
            <w:top w:w="0" w:type="dxa"/>
            <w:left w:w="0" w:type="dxa"/>
            <w:bottom w:w="0" w:type="dxa"/>
            <w:right w:w="0" w:type="dxa"/>
          </w:tblCellMar>
        </w:tblPrEx>
        <w:trPr>
          <w:trHeight w:val="260" w:hRule="atLeast"/>
        </w:trPr>
        <w:tc>
          <w:tcPr>
            <w:tcW w:w="1615"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D05E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主管部门负责人</w:t>
            </w:r>
          </w:p>
        </w:tc>
        <w:tc>
          <w:tcPr>
            <w:tcW w:w="2807" w:type="dxa"/>
            <w:gridSpan w:val="9"/>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1DDEACC8">
            <w:pPr>
              <w:jc w:val="left"/>
              <w:rPr>
                <w:rFonts w:hint="eastAsia" w:ascii="宋体" w:hAnsi="宋体" w:eastAsia="宋体" w:cs="宋体"/>
                <w:i w:val="0"/>
                <w:color w:val="000000"/>
                <w:sz w:val="18"/>
                <w:szCs w:val="18"/>
                <w:u w:val="none"/>
              </w:rPr>
            </w:pPr>
          </w:p>
        </w:tc>
        <w:tc>
          <w:tcPr>
            <w:tcW w:w="1832" w:type="dxa"/>
            <w:gridSpan w:val="8"/>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0782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财政绩效中心审核意见</w:t>
            </w:r>
          </w:p>
        </w:tc>
        <w:tc>
          <w:tcPr>
            <w:tcW w:w="2266" w:type="dxa"/>
            <w:gridSpan w:val="5"/>
            <w:tcBorders>
              <w:top w:val="single" w:color="000000" w:sz="4" w:space="0"/>
              <w:left w:val="single" w:color="000000" w:sz="4" w:space="0"/>
              <w:bottom w:val="nil"/>
              <w:right w:val="single" w:color="000000" w:sz="4" w:space="0"/>
            </w:tcBorders>
            <w:shd w:val="clear" w:color="auto" w:fill="FFFFFF"/>
            <w:tcMar>
              <w:top w:w="15" w:type="dxa"/>
              <w:left w:w="15" w:type="dxa"/>
              <w:right w:w="15" w:type="dxa"/>
            </w:tcMar>
            <w:vAlign w:val="center"/>
          </w:tcPr>
          <w:p w14:paraId="6891025D">
            <w:pPr>
              <w:jc w:val="left"/>
              <w:rPr>
                <w:rFonts w:hint="eastAsia" w:ascii="宋体" w:hAnsi="宋体" w:eastAsia="宋体" w:cs="宋体"/>
                <w:i w:val="0"/>
                <w:color w:val="000000"/>
                <w:sz w:val="18"/>
                <w:szCs w:val="18"/>
                <w:u w:val="none"/>
              </w:rPr>
            </w:pPr>
          </w:p>
        </w:tc>
      </w:tr>
      <w:tr w14:paraId="0AC9A882">
        <w:tblPrEx>
          <w:shd w:val="clear" w:color="auto" w:fill="auto"/>
          <w:tblCellMar>
            <w:top w:w="0" w:type="dxa"/>
            <w:left w:w="0" w:type="dxa"/>
            <w:bottom w:w="0" w:type="dxa"/>
            <w:right w:w="0" w:type="dxa"/>
          </w:tblCellMar>
        </w:tblPrEx>
        <w:trPr>
          <w:trHeight w:val="347" w:hRule="atLeast"/>
        </w:trPr>
        <w:tc>
          <w:tcPr>
            <w:tcW w:w="161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1BBF0F">
            <w:pPr>
              <w:jc w:val="left"/>
              <w:rPr>
                <w:rFonts w:hint="eastAsia" w:ascii="宋体" w:hAnsi="宋体" w:eastAsia="宋体" w:cs="宋体"/>
                <w:i w:val="0"/>
                <w:color w:val="000000"/>
                <w:sz w:val="18"/>
                <w:szCs w:val="18"/>
                <w:u w:val="none"/>
              </w:rPr>
            </w:pPr>
          </w:p>
        </w:tc>
        <w:tc>
          <w:tcPr>
            <w:tcW w:w="2807" w:type="dxa"/>
            <w:gridSpan w:val="9"/>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51DE3B9F">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审核人：            </w:t>
            </w:r>
          </w:p>
        </w:tc>
        <w:tc>
          <w:tcPr>
            <w:tcW w:w="1832" w:type="dxa"/>
            <w:gridSpan w:val="8"/>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46C3F5">
            <w:pPr>
              <w:jc w:val="left"/>
              <w:rPr>
                <w:rFonts w:hint="eastAsia" w:ascii="宋体" w:hAnsi="宋体" w:eastAsia="宋体" w:cs="宋体"/>
                <w:i w:val="0"/>
                <w:color w:val="000000"/>
                <w:sz w:val="18"/>
                <w:szCs w:val="18"/>
                <w:u w:val="none"/>
              </w:rPr>
            </w:pPr>
          </w:p>
        </w:tc>
        <w:tc>
          <w:tcPr>
            <w:tcW w:w="2266" w:type="dxa"/>
            <w:gridSpan w:val="5"/>
            <w:tcBorders>
              <w:top w:val="nil"/>
              <w:left w:val="single" w:color="000000" w:sz="4" w:space="0"/>
              <w:bottom w:val="nil"/>
              <w:right w:val="single" w:color="000000" w:sz="4" w:space="0"/>
            </w:tcBorders>
            <w:shd w:val="clear" w:color="auto" w:fill="FFFFFF"/>
            <w:tcMar>
              <w:top w:w="15" w:type="dxa"/>
              <w:left w:w="15" w:type="dxa"/>
              <w:right w:w="15" w:type="dxa"/>
            </w:tcMar>
            <w:vAlign w:val="bottom"/>
          </w:tcPr>
          <w:p w14:paraId="2FAEADC3">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审核人：  </w:t>
            </w:r>
          </w:p>
        </w:tc>
      </w:tr>
      <w:tr w14:paraId="5C24F29B">
        <w:tblPrEx>
          <w:shd w:val="clear" w:color="auto" w:fill="auto"/>
          <w:tblCellMar>
            <w:top w:w="0" w:type="dxa"/>
            <w:left w:w="0" w:type="dxa"/>
            <w:bottom w:w="0" w:type="dxa"/>
            <w:right w:w="0" w:type="dxa"/>
          </w:tblCellMar>
        </w:tblPrEx>
        <w:trPr>
          <w:trHeight w:val="504" w:hRule="atLeast"/>
        </w:trPr>
        <w:tc>
          <w:tcPr>
            <w:tcW w:w="161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B5E780">
            <w:pPr>
              <w:jc w:val="left"/>
              <w:rPr>
                <w:rFonts w:hint="eastAsia" w:ascii="宋体" w:hAnsi="宋体" w:eastAsia="宋体" w:cs="宋体"/>
                <w:i w:val="0"/>
                <w:color w:val="000000"/>
                <w:sz w:val="18"/>
                <w:szCs w:val="18"/>
                <w:u w:val="none"/>
              </w:rPr>
            </w:pPr>
          </w:p>
        </w:tc>
        <w:tc>
          <w:tcPr>
            <w:tcW w:w="2807" w:type="dxa"/>
            <w:gridSpan w:val="9"/>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72A7BE5E">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单位签章：                                     2019  年   5月   28日</w:t>
            </w:r>
          </w:p>
        </w:tc>
        <w:tc>
          <w:tcPr>
            <w:tcW w:w="1832" w:type="dxa"/>
            <w:gridSpan w:val="8"/>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1E0A60">
            <w:pPr>
              <w:jc w:val="left"/>
              <w:rPr>
                <w:rFonts w:hint="eastAsia" w:ascii="宋体" w:hAnsi="宋体" w:eastAsia="宋体" w:cs="宋体"/>
                <w:i w:val="0"/>
                <w:color w:val="000000"/>
                <w:sz w:val="18"/>
                <w:szCs w:val="18"/>
                <w:u w:val="none"/>
              </w:rPr>
            </w:pPr>
          </w:p>
        </w:tc>
        <w:tc>
          <w:tcPr>
            <w:tcW w:w="2266" w:type="dxa"/>
            <w:gridSpan w:val="5"/>
            <w:tcBorders>
              <w:top w:val="nil"/>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55F911A4">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科室签章：                                                     2019  年   5月   27日</w:t>
            </w:r>
          </w:p>
        </w:tc>
      </w:tr>
    </w:tbl>
    <w:p w14:paraId="0C543608">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四、其他重要事项的情况说明</w:t>
      </w:r>
    </w:p>
    <w:p w14:paraId="063506EE">
      <w:pPr>
        <w:autoSpaceDE w:val="0"/>
        <w:autoSpaceDN w:val="0"/>
        <w:adjustRightInd w:val="0"/>
        <w:spacing w:before="100" w:beforeAutospacing="1" w:after="100" w:afterAutospacing="1" w:line="580" w:lineRule="exact"/>
        <w:ind w:firstLine="600"/>
        <w:rPr>
          <w:rFonts w:ascii="楷体" w:hAnsi="楷体" w:eastAsia="楷体"/>
          <w:sz w:val="32"/>
          <w:szCs w:val="32"/>
        </w:rPr>
      </w:pPr>
      <w:r>
        <w:rPr>
          <w:rFonts w:hint="eastAsia" w:ascii="楷体" w:hAnsi="楷体" w:eastAsia="楷体"/>
          <w:sz w:val="32"/>
          <w:szCs w:val="32"/>
        </w:rPr>
        <w:t>（一）机关运行经费支出情况</w:t>
      </w:r>
    </w:p>
    <w:p w14:paraId="1C5214BC">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sz w:val="32"/>
          <w:szCs w:val="32"/>
        </w:rPr>
      </w:pPr>
      <w:r>
        <w:rPr>
          <w:rFonts w:hint="eastAsia" w:ascii="仿宋_GB2312" w:hAnsi="Times New Roman" w:eastAsia="仿宋_GB2312"/>
          <w:color w:val="000000"/>
          <w:sz w:val="32"/>
          <w:szCs w:val="32"/>
        </w:rPr>
        <w:t>本部门2019年度机关运行经费支出218.04万元，比2018年增加208.34万元，增长2,147.80%。主要原因</w:t>
      </w:r>
      <w:bookmarkStart w:id="0" w:name="_GoBack"/>
      <w:bookmarkEnd w:id="0"/>
      <w:r>
        <w:rPr>
          <w:rFonts w:hint="eastAsia" w:ascii="仿宋_GB2312" w:hAnsi="Times New Roman" w:eastAsia="仿宋_GB2312"/>
          <w:color w:val="000000"/>
          <w:sz w:val="32"/>
          <w:szCs w:val="32"/>
        </w:rPr>
        <w:t>是人工影响天气补助费用增加。。</w:t>
      </w:r>
    </w:p>
    <w:p w14:paraId="3563DCD0">
      <w:pPr>
        <w:autoSpaceDE w:val="0"/>
        <w:autoSpaceDN w:val="0"/>
        <w:adjustRightInd w:val="0"/>
        <w:spacing w:before="100" w:beforeAutospacing="1" w:after="100" w:afterAutospacing="1" w:line="580" w:lineRule="exact"/>
        <w:ind w:firstLine="600"/>
        <w:rPr>
          <w:rFonts w:ascii="楷体" w:hAnsi="楷体" w:eastAsia="楷体"/>
          <w:sz w:val="32"/>
          <w:szCs w:val="32"/>
        </w:rPr>
      </w:pPr>
      <w:r>
        <w:rPr>
          <w:rFonts w:hint="eastAsia" w:ascii="楷体" w:hAnsi="楷体" w:eastAsia="楷体"/>
          <w:sz w:val="32"/>
          <w:szCs w:val="32"/>
        </w:rPr>
        <w:t>（二）政府采购支出情况</w:t>
      </w:r>
    </w:p>
    <w:p w14:paraId="5DF0A7CA">
      <w:pPr>
        <w:keepNext w:val="0"/>
        <w:keepLines w:val="0"/>
        <w:widowControl/>
        <w:suppressLineNumbers w:val="0"/>
        <w:autoSpaceDE w:val="0"/>
        <w:autoSpaceDN w:val="0"/>
        <w:adjustRightInd w:val="0"/>
        <w:spacing w:before="0" w:beforeAutospacing="1" w:after="0" w:afterAutospacing="1" w:line="580" w:lineRule="exact"/>
        <w:ind w:left="0" w:right="0" w:firstLine="600"/>
        <w:rPr>
          <w:rFonts w:ascii="仿宋_GB2312" w:hAnsi="Times New Roman" w:eastAsia="仿宋_GB2312"/>
          <w:color w:val="000000"/>
          <w:sz w:val="32"/>
          <w:szCs w:val="32"/>
        </w:rPr>
      </w:pPr>
      <w:r>
        <w:rPr>
          <w:rFonts w:hint="eastAsia" w:ascii="仿宋_GB2312" w:hAnsi="Times New Roman" w:eastAsia="仿宋_GB2312"/>
          <w:color w:val="000000"/>
          <w:sz w:val="32"/>
          <w:szCs w:val="32"/>
        </w:rPr>
        <w:t>本部门2019年度政府采购支出合计1,094.49万元，其中：政府采购货物支出494.49万元</w:t>
      </w:r>
      <w:r>
        <w:rPr>
          <w:rFonts w:ascii="Times New Roman" w:hAnsi="Times New Roman" w:eastAsia="仿宋_GB2312" w:cs="Times New Roman"/>
          <w:color w:val="000000"/>
          <w:sz w:val="32"/>
          <w:szCs w:val="32"/>
        </w:rPr>
        <w:t>,</w:t>
      </w:r>
      <w:r>
        <w:rPr>
          <w:rFonts w:hint="eastAsia" w:ascii="仿宋_GB2312" w:hAnsi="Times New Roman" w:eastAsia="仿宋_GB2312"/>
          <w:color w:val="000000"/>
          <w:sz w:val="32"/>
          <w:szCs w:val="32"/>
        </w:rPr>
        <w:t>比2018年增加494.49万元</w:t>
      </w:r>
      <w:r>
        <w:rPr>
          <w:rFonts w:hint="eastAsia" w:ascii="仿宋_GB2312" w:hAnsi="Times New Roman" w:eastAsia="仿宋_GB2312"/>
          <w:sz w:val="32"/>
          <w:szCs w:val="32"/>
        </w:rPr>
        <w:t>，主要原因是增加第十四届全国冬季运动会气象服务保障项目购买设备455.</w:t>
      </w:r>
      <w:r>
        <w:rPr>
          <w:rFonts w:ascii="仿宋_GB2312" w:hAnsi="Times New Roman" w:eastAsia="仿宋_GB2312"/>
          <w:sz w:val="32"/>
          <w:szCs w:val="32"/>
        </w:rPr>
        <w:t>69</w:t>
      </w:r>
      <w:r>
        <w:rPr>
          <w:rFonts w:hint="eastAsia" w:ascii="仿宋_GB2312" w:hAnsi="Times New Roman" w:eastAsia="仿宋_GB2312"/>
          <w:sz w:val="32"/>
          <w:szCs w:val="32"/>
        </w:rPr>
        <w:t>万元</w:t>
      </w:r>
      <w:r>
        <w:rPr>
          <w:rFonts w:ascii="仿宋_GB2312" w:hAnsi="Times New Roman" w:eastAsia="仿宋_GB2312"/>
          <w:sz w:val="32"/>
          <w:szCs w:val="32"/>
        </w:rPr>
        <w:t>，行业应用软件</w:t>
      </w:r>
      <w:r>
        <w:rPr>
          <w:rFonts w:hint="eastAsia" w:ascii="仿宋_GB2312" w:hAnsi="Times New Roman" w:eastAsia="仿宋_GB2312"/>
          <w:sz w:val="32"/>
          <w:szCs w:val="32"/>
        </w:rPr>
        <w:t>38.80万元；政府采购工程支出0.00万元，比2018年增加0.00万元，增长</w:t>
      </w:r>
      <w:r>
        <w:rPr>
          <w:rFonts w:hint="eastAsia" w:ascii="仿宋_GB2312" w:hAnsi="Times New Roman" w:eastAsia="仿宋_GB2312"/>
          <w:color w:val="000000"/>
          <w:sz w:val="32"/>
          <w:szCs w:val="32"/>
        </w:rPr>
        <w:t>0.00%，政府采购服务支出600.00万元，比2018年增加600.00万元，主要原因是增加2019-2021年飞机托管费600万元。授予中小企业合同金额0.00万元，占政府采购支出总额的0.00%。</w:t>
      </w:r>
      <w:r>
        <w:rPr>
          <w:rFonts w:hint="eastAsia" w:ascii="仿宋_GB2312" w:hAnsi="Times New Roman" w:eastAsia="仿宋_GB2312" w:cs="仿宋_GB2312"/>
          <w:color w:val="auto"/>
          <w:sz w:val="32"/>
          <w:szCs w:val="32"/>
        </w:rPr>
        <w:t>其中：授予小微企业合同金额</w:t>
      </w:r>
      <w:r>
        <w:rPr>
          <w:rFonts w:hint="eastAsia" w:ascii="仿宋_GB2312" w:hAnsi="Times New Roman" w:eastAsia="仿宋_GB2312" w:cs="仿宋_GB2312"/>
          <w:color w:val="auto"/>
          <w:sz w:val="32"/>
          <w:szCs w:val="32"/>
          <w:lang w:val="en-US" w:eastAsia="zh-CN"/>
        </w:rPr>
        <w:t>0.00</w:t>
      </w:r>
      <w:r>
        <w:rPr>
          <w:rFonts w:hint="eastAsia" w:ascii="仿宋_GB2312" w:hAnsi="Times New Roman" w:eastAsia="仿宋_GB2312" w:cs="仿宋_GB2312"/>
          <w:color w:val="auto"/>
          <w:sz w:val="32"/>
          <w:szCs w:val="32"/>
        </w:rPr>
        <w:t>万元，占政府采购支出总额的</w:t>
      </w:r>
      <w:r>
        <w:rPr>
          <w:rFonts w:hint="eastAsia" w:ascii="仿宋_GB2312" w:hAnsi="Times New Roman" w:eastAsia="仿宋_GB2312" w:cs="仿宋_GB2312"/>
          <w:color w:val="auto"/>
          <w:sz w:val="32"/>
          <w:szCs w:val="32"/>
          <w:lang w:val="en-US" w:eastAsia="zh-CN"/>
        </w:rPr>
        <w:t>0.00</w:t>
      </w:r>
      <w:r>
        <w:rPr>
          <w:rFonts w:hint="eastAsia" w:ascii="仿宋_GB2312" w:hAnsi="Times New Roman" w:eastAsia="仿宋_GB2312" w:cs="仿宋_GB2312"/>
          <w:color w:val="auto"/>
          <w:sz w:val="32"/>
          <w:szCs w:val="32"/>
          <w:lang w:val="en-US"/>
        </w:rPr>
        <w:t>%</w:t>
      </w:r>
      <w:r>
        <w:rPr>
          <w:rFonts w:hint="eastAsia" w:ascii="仿宋_GB2312" w:hAnsi="Times New Roman" w:eastAsia="仿宋_GB2312" w:cs="仿宋_GB2312"/>
          <w:color w:val="auto"/>
          <w:sz w:val="32"/>
          <w:szCs w:val="32"/>
        </w:rPr>
        <w:t>。</w:t>
      </w:r>
    </w:p>
    <w:p w14:paraId="449AE50A">
      <w:pPr>
        <w:autoSpaceDE w:val="0"/>
        <w:autoSpaceDN w:val="0"/>
        <w:adjustRightInd w:val="0"/>
        <w:spacing w:before="100" w:beforeAutospacing="1" w:after="100" w:afterAutospacing="1" w:line="580" w:lineRule="exact"/>
        <w:ind w:firstLine="600"/>
        <w:rPr>
          <w:rFonts w:hint="eastAsia" w:ascii="楷体" w:hAnsi="楷体" w:eastAsia="楷体"/>
          <w:sz w:val="32"/>
          <w:szCs w:val="32"/>
        </w:rPr>
      </w:pPr>
      <w:r>
        <w:rPr>
          <w:rFonts w:hint="eastAsia" w:ascii="楷体" w:hAnsi="楷体" w:eastAsia="楷体"/>
          <w:sz w:val="32"/>
          <w:szCs w:val="32"/>
        </w:rPr>
        <w:t>（三）国有资产占用情况</w:t>
      </w:r>
    </w:p>
    <w:p w14:paraId="2AA35ABF">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sz w:val="32"/>
          <w:szCs w:val="32"/>
        </w:rPr>
      </w:pPr>
      <w:r>
        <w:rPr>
          <w:rFonts w:hint="eastAsia" w:ascii="仿宋_GB2312" w:hAnsi="Times New Roman" w:eastAsia="仿宋_GB2312"/>
          <w:color w:val="000000"/>
          <w:sz w:val="32"/>
          <w:szCs w:val="32"/>
        </w:rPr>
        <w:t>截至2019年12月31日，本部门共有车辆0辆，其中，副部（省）级及以上领导用车0辆；主要领导干部用车0辆;机要通信用车0辆;应急保障用车0辆;执法执勤用车0辆；特种专业技术用车0辆；离退休干部用车0辆；其他用车0辆。单位价值50万元以上通用设备0台（套）比2018年增加0.00台（套）;单位价值100万元以上专用设备0台（套），比2018年增加0.00台（套）。</w:t>
      </w:r>
    </w:p>
    <w:p w14:paraId="44A5037A">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color w:val="000000"/>
          <w:sz w:val="32"/>
          <w:szCs w:val="32"/>
        </w:rPr>
      </w:pPr>
    </w:p>
    <w:p w14:paraId="3B20989F">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bCs/>
          <w:sz w:val="32"/>
          <w:szCs w:val="32"/>
        </w:rPr>
      </w:pPr>
      <w:r>
        <w:rPr>
          <w:rFonts w:hint="eastAsia" w:ascii="仿宋_GB2312" w:hAnsi="Times New Roman" w:eastAsia="仿宋_GB2312"/>
          <w:b/>
          <w:bCs/>
          <w:sz w:val="32"/>
          <w:szCs w:val="32"/>
        </w:rPr>
        <w:t>第三部分 名词解释</w:t>
      </w:r>
    </w:p>
    <w:p w14:paraId="235A9754">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（一）财政拨款收入：指本年度从本级财政部门取得的财政拨款，包括一般公共预算财政拨款和政府性基金预算财政拨款。</w:t>
      </w:r>
    </w:p>
    <w:p w14:paraId="3DFF14D5">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（二）事业收入：指事业单位开展专业业务活动及其辅助活动取得的收入；事业单位收到的财政专户实际核拨的教育收费等资金。</w:t>
      </w:r>
    </w:p>
    <w:p w14:paraId="0067C0DF">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（三）经营收入：指事业单位在专业业务活动及其辅助活动之外开展非独立核算经营活动取得的收入。</w:t>
      </w:r>
    </w:p>
    <w:p w14:paraId="501728F7">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14:paraId="538E00DE">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五）用事业基金弥补收支差额：指事业单位在当年的“财政拨款收入”、“财政拨款结转和结余资金”、“事业收入”、“事业单位经营收入”、“其他收入”不足以安排当年支出的情况下，使用以前年度累积的事业基金（当年收支相抵后按国家规定提取、用于弥补以后年度收支差额的基金）弥补本年收支缺口的资金。</w:t>
      </w:r>
    </w:p>
    <w:p w14:paraId="176F0854">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（六）年初结转和结余：</w:t>
      </w:r>
      <w:r>
        <w:rPr>
          <w:rFonts w:hint="eastAsia" w:ascii="仿宋_GB2312" w:hAnsi="Times New Roman" w:eastAsia="仿宋_GB2312"/>
          <w:sz w:val="32"/>
          <w:szCs w:val="32"/>
          <w:highlight w:val="white"/>
        </w:rPr>
        <w:t>指以前年度支出预算因客观条件变化未执行完毕、结转到本年度按有关规定继续使用的资金。</w:t>
      </w:r>
    </w:p>
    <w:p w14:paraId="1D336BFE">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（七）结余分配</w:t>
      </w:r>
      <w:r>
        <w:rPr>
          <w:rFonts w:hint="eastAsia" w:ascii="仿宋_GB2312" w:hAnsi="Times New Roman" w:eastAsia="仿宋_GB2312"/>
          <w:sz w:val="32"/>
          <w:szCs w:val="32"/>
          <w:highlight w:val="white"/>
        </w:rPr>
        <w:t>：指事业单位按照会计制度规定缴纳的所得税以及从非财政拨款结余中提取的职工福利基金、事业基金等。</w:t>
      </w:r>
    </w:p>
    <w:p w14:paraId="3D1044A6">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（八）年末结转和结余</w:t>
      </w:r>
      <w:r>
        <w:rPr>
          <w:rFonts w:hint="eastAsia" w:ascii="仿宋_GB2312" w:hAnsi="Times New Roman" w:eastAsia="仿宋_GB2312"/>
          <w:sz w:val="32"/>
          <w:szCs w:val="32"/>
          <w:highlight w:val="white"/>
        </w:rPr>
        <w:t>：指单位本年度或以前年度预算安排、因客观条件发生变化未全部执行或未执行，结转到以后年度继续使用的资金，或项目已完成等产生的结余资金。</w:t>
      </w:r>
    </w:p>
    <w:p w14:paraId="4299D0BA">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（九）基本支出：指为保障机构正常运转、完成日常工作任务而发生的人员经费和公用经费。其中：人员经费指政府收支分类经济科目中的</w:t>
      </w:r>
      <w:r>
        <w:rPr>
          <w:rFonts w:ascii="Times New Roman" w:hAnsi="Times New Roman" w:eastAsia="仿宋_GB2312" w:cs="Times New Roman"/>
          <w:sz w:val="32"/>
          <w:szCs w:val="32"/>
        </w:rPr>
        <w:t>“</w:t>
      </w:r>
      <w:r>
        <w:rPr>
          <w:rFonts w:hint="eastAsia" w:ascii="仿宋_GB2312" w:hAnsi="Times New Roman" w:eastAsia="仿宋_GB2312"/>
          <w:sz w:val="32"/>
          <w:szCs w:val="32"/>
        </w:rPr>
        <w:t>工资福利支出</w:t>
      </w:r>
      <w:r>
        <w:rPr>
          <w:rFonts w:ascii="Times New Roman" w:hAnsi="Times New Roman" w:eastAsia="仿宋_GB2312" w:cs="Times New Roman"/>
          <w:sz w:val="32"/>
          <w:szCs w:val="32"/>
        </w:rPr>
        <w:t>”</w:t>
      </w:r>
      <w:r>
        <w:rPr>
          <w:rFonts w:hint="eastAsia" w:ascii="仿宋_GB2312" w:hAnsi="Times New Roman" w:eastAsia="仿宋_GB2312"/>
          <w:sz w:val="32"/>
          <w:szCs w:val="32"/>
        </w:rPr>
        <w:t>和</w:t>
      </w:r>
      <w:r>
        <w:rPr>
          <w:rFonts w:ascii="Times New Roman" w:hAnsi="Times New Roman" w:eastAsia="仿宋_GB2312" w:cs="Times New Roman"/>
          <w:sz w:val="32"/>
          <w:szCs w:val="32"/>
        </w:rPr>
        <w:t>“</w:t>
      </w:r>
      <w:r>
        <w:rPr>
          <w:rFonts w:hint="eastAsia" w:ascii="仿宋_GB2312" w:hAnsi="Times New Roman" w:eastAsia="仿宋_GB2312"/>
          <w:sz w:val="32"/>
          <w:szCs w:val="32"/>
        </w:rPr>
        <w:t>对个人和家庭的补助</w:t>
      </w:r>
      <w:r>
        <w:rPr>
          <w:rFonts w:ascii="Times New Roman" w:hAnsi="Times New Roman" w:eastAsia="仿宋_GB2312" w:cs="Times New Roman"/>
          <w:sz w:val="32"/>
          <w:szCs w:val="32"/>
        </w:rPr>
        <w:t>”</w:t>
      </w:r>
      <w:r>
        <w:rPr>
          <w:rFonts w:hint="eastAsia" w:ascii="仿宋_GB2312" w:hAnsi="Times New Roman" w:eastAsia="仿宋_GB2312"/>
          <w:sz w:val="32"/>
          <w:szCs w:val="32"/>
        </w:rPr>
        <w:t>；公用经费指政府收支分类经济科目中除</w:t>
      </w:r>
      <w:r>
        <w:rPr>
          <w:rFonts w:ascii="Times New Roman" w:hAnsi="Times New Roman" w:eastAsia="仿宋_GB2312" w:cs="Times New Roman"/>
          <w:sz w:val="32"/>
          <w:szCs w:val="32"/>
        </w:rPr>
        <w:t>“</w:t>
      </w:r>
      <w:r>
        <w:rPr>
          <w:rFonts w:hint="eastAsia" w:ascii="仿宋_GB2312" w:hAnsi="Times New Roman" w:eastAsia="仿宋_GB2312"/>
          <w:sz w:val="32"/>
          <w:szCs w:val="32"/>
        </w:rPr>
        <w:t>工资福利支出</w:t>
      </w:r>
      <w:r>
        <w:rPr>
          <w:rFonts w:ascii="Times New Roman" w:hAnsi="Times New Roman" w:eastAsia="仿宋_GB2312" w:cs="Times New Roman"/>
          <w:sz w:val="32"/>
          <w:szCs w:val="32"/>
        </w:rPr>
        <w:t>”</w:t>
      </w:r>
      <w:r>
        <w:rPr>
          <w:rFonts w:hint="eastAsia" w:ascii="仿宋_GB2312" w:hAnsi="Times New Roman" w:eastAsia="仿宋_GB2312"/>
          <w:sz w:val="32"/>
          <w:szCs w:val="32"/>
        </w:rPr>
        <w:t>和</w:t>
      </w:r>
      <w:r>
        <w:rPr>
          <w:rFonts w:ascii="Times New Roman" w:hAnsi="Times New Roman" w:eastAsia="仿宋_GB2312" w:cs="Times New Roman"/>
          <w:sz w:val="32"/>
          <w:szCs w:val="32"/>
        </w:rPr>
        <w:t>“</w:t>
      </w:r>
      <w:r>
        <w:rPr>
          <w:rFonts w:hint="eastAsia" w:ascii="仿宋_GB2312" w:hAnsi="Times New Roman" w:eastAsia="仿宋_GB2312"/>
          <w:sz w:val="32"/>
          <w:szCs w:val="32"/>
        </w:rPr>
        <w:t>对个人和家庭的补助</w:t>
      </w:r>
      <w:r>
        <w:rPr>
          <w:rFonts w:ascii="Times New Roman" w:hAnsi="Times New Roman" w:eastAsia="仿宋_GB2312" w:cs="Times New Roman"/>
          <w:sz w:val="32"/>
          <w:szCs w:val="32"/>
        </w:rPr>
        <w:t>”</w:t>
      </w:r>
      <w:r>
        <w:rPr>
          <w:rFonts w:hint="eastAsia" w:ascii="仿宋_GB2312" w:hAnsi="Times New Roman" w:eastAsia="仿宋_GB2312"/>
          <w:sz w:val="32"/>
          <w:szCs w:val="32"/>
        </w:rPr>
        <w:t>外的其他支出。</w:t>
      </w:r>
    </w:p>
    <w:p w14:paraId="56C79392">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（十）项目支出：指在基本支出之外为完成特定任务和事业发展目标所发生的支出。</w:t>
      </w:r>
    </w:p>
    <w:p w14:paraId="017E5046">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（十一）经营支出：指事业单位在专业业务活动及其辅助活动之外开展非独立核算经营活动发生的支出。</w:t>
      </w:r>
    </w:p>
    <w:p w14:paraId="68283833">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（十二）</w:t>
      </w:r>
      <w:r>
        <w:rPr>
          <w:rFonts w:ascii="Times New Roman" w:hAnsi="Times New Roman" w:eastAsia="仿宋_GB2312" w:cs="Times New Roman"/>
          <w:sz w:val="32"/>
          <w:szCs w:val="32"/>
        </w:rPr>
        <w:t>“</w:t>
      </w:r>
      <w:r>
        <w:rPr>
          <w:rFonts w:hint="eastAsia" w:ascii="仿宋_GB2312" w:hAnsi="Times New Roman" w:eastAsia="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sz w:val="32"/>
          <w:szCs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14:paraId="01C50FFB">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三）机关运行经费：指行政单位和参照公务员法管理的事业单位使用一般公共预算财政拨款安排的基本支出中的日常公用经费支出。未包含行政单位或参照公务员法管理事业单位的部门，参考此口径公开本部门的日常公用经费，并与预算公开保持一致。未包含行政单位或者参照公务员法管理事业单位的部门，参照此口径公开本部门的日常公用经费，并与预算公开保持一致。</w:t>
      </w:r>
    </w:p>
    <w:p w14:paraId="6E7D30DB">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（十四）工资福利支出（支出经济分类科目类级）：反映单位开支的在职职工和编制外长期聘用人员的各类劳动报酬，以及为上述人员缴纳的各项社会保险费等。</w:t>
      </w:r>
    </w:p>
    <w:p w14:paraId="13798B16">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（十五）商品和服务支出（支出经济分类科目类级）：反映单位购买商品和服务的支出（不包括用于购置固定资产的支出、战略性和应急储备支出）。</w:t>
      </w:r>
    </w:p>
    <w:p w14:paraId="72454EE3">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（十六）对个人和家庭的补助（支出经济分类科目类级）：反映用于对个人和家庭的补助支出。</w:t>
      </w:r>
    </w:p>
    <w:p w14:paraId="120FEC2D">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sz w:val="32"/>
          <w:szCs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14:paraId="79ADBDFC">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p>
    <w:p w14:paraId="46EFF627">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bCs/>
          <w:sz w:val="32"/>
          <w:szCs w:val="32"/>
        </w:rPr>
      </w:pPr>
      <w:r>
        <w:rPr>
          <w:rFonts w:hint="eastAsia" w:ascii="仿宋_GB2312" w:hAnsi="Times New Roman" w:eastAsia="仿宋_GB2312"/>
          <w:b/>
          <w:bCs/>
          <w:sz w:val="32"/>
          <w:szCs w:val="32"/>
        </w:rPr>
        <w:t>第四部分 决算公开联系方式及信息反馈渠道</w:t>
      </w:r>
    </w:p>
    <w:p w14:paraId="13426BAC">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sz w:val="32"/>
          <w:szCs w:val="32"/>
        </w:rPr>
      </w:pPr>
      <w:r>
        <w:rPr>
          <w:rFonts w:hint="eastAsia" w:ascii="仿宋_GB2312" w:hAnsi="Times New Roman" w:eastAsia="仿宋_GB2312"/>
          <w:sz w:val="32"/>
          <w:szCs w:val="32"/>
        </w:rPr>
        <w:t>本单位决算公开信息反馈和联系方式：</w:t>
      </w:r>
    </w:p>
    <w:p w14:paraId="0A2C03BF">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sz w:val="18"/>
          <w:szCs w:val="18"/>
        </w:rPr>
      </w:pPr>
      <w:r>
        <w:rPr>
          <w:rFonts w:hint="eastAsia" w:ascii="仿宋_GB2312" w:hAnsi="Times New Roman" w:eastAsia="仿宋_GB2312"/>
          <w:color w:val="000000"/>
          <w:sz w:val="32"/>
          <w:szCs w:val="32"/>
        </w:rPr>
        <w:t>联系人：赵薇    联系电话：0470</w:t>
      </w:r>
      <w:r>
        <w:rPr>
          <w:rFonts w:ascii="Times New Roman" w:hAnsi="Times New Roman" w:eastAsia="仿宋_GB2312" w:cs="Times New Roman"/>
          <w:color w:val="000000"/>
          <w:sz w:val="32"/>
          <w:szCs w:val="32"/>
        </w:rPr>
        <w:t>-</w:t>
      </w:r>
      <w:r>
        <w:rPr>
          <w:rFonts w:hint="eastAsia" w:ascii="仿宋_GB2312" w:hAnsi="Times New Roman" w:eastAsia="仿宋_GB2312"/>
          <w:color w:val="000000"/>
          <w:sz w:val="32"/>
          <w:szCs w:val="32"/>
        </w:rPr>
        <w:t>8244443</w:t>
      </w:r>
    </w:p>
    <w:p w14:paraId="25ABC8D6">
      <w:pPr>
        <w:autoSpaceDE w:val="0"/>
        <w:autoSpaceDN w:val="0"/>
        <w:adjustRightInd w:val="0"/>
        <w:spacing w:before="100" w:beforeAutospacing="1" w:after="100" w:afterAutospacing="1"/>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sectPr>
      <w:pgSz w:w="11915" w:h="16851"/>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Calibri Light">
    <w:altName w:val="Lucida Sans Unicode"/>
    <w:panose1 w:val="020F0302020204030204"/>
    <w:charset w:val="00"/>
    <w:family w:val="swiss"/>
    <w:pitch w:val="default"/>
    <w:sig w:usb0="00000000" w:usb1="00000000" w:usb2="00000000" w:usb3="00000000" w:csb0="2000019F" w:csb1="00000000"/>
  </w:font>
  <w:font w:name="Lucida Sans Unicode">
    <w:panose1 w:val="020B0602030504020204"/>
    <w:charset w:val="00"/>
    <w:family w:val="auto"/>
    <w:pitch w:val="default"/>
    <w:sig w:usb0="80001AFF" w:usb1="0000396B" w:usb2="00000000" w:usb3="00000000" w:csb0="200000BF" w:csb1="D7F7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icrosoft YaHei">
    <w:panose1 w:val="020B0503020204020204"/>
    <w:charset w:val="86"/>
    <w:family w:val="auto"/>
    <w:pitch w:val="default"/>
    <w:sig w:usb0="80000287" w:usb1="2ACF3C50" w:usb2="00000016" w:usb3="00000000" w:csb0="0004001F" w:csb1="00000000"/>
  </w:font>
  <w:font w:name="Tahoma">
    <w:altName w:val="noto sans tha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0F3FEA"/>
    <w:multiLevelType w:val="singleLevel"/>
    <w:tmpl w:val="CA0F3FEA"/>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doNotCompress"/>
  <w:compat>
    <w:doNotExpandShiftReturn/>
    <w:doNotSnapToGridInCell/>
    <w:doNotWrapTextWithPunct/>
    <w:doNotUseEastAsianBreakRules/>
    <w:growAutofit/>
    <w:useFELayout/>
    <w:doNotUseIndentAsNumberingTabStop/>
    <w:useAltKinsokuLineBreakRules/>
    <w:compatSetting w:name="compatibilityMode" w:uri="http://schemas.microsoft.com/office/word" w:val="15"/>
    <w:compatSetting w:name="differentiateMultirowTableHeaders" w:uri="http://schemas.microsoft.com/office/word" w:val="1"/>
  </w:compat>
  <w:rsids>
    <w:rsidRoot w:val="006F568E"/>
    <w:rsid w:val="001C5DAA"/>
    <w:rsid w:val="00581A1B"/>
    <w:rsid w:val="006F568E"/>
    <w:rsid w:val="007D5E16"/>
    <w:rsid w:val="00881BAE"/>
    <w:rsid w:val="00A119BF"/>
    <w:rsid w:val="00C25541"/>
    <w:rsid w:val="00E6612A"/>
    <w:rsid w:val="00F342D6"/>
    <w:rsid w:val="0ED06A5D"/>
    <w:rsid w:val="24366D2A"/>
    <w:rsid w:val="45B67966"/>
    <w:rsid w:val="580368E1"/>
    <w:rsid w:val="66EF7CEA"/>
    <w:rsid w:val="68A138FB"/>
    <w:rsid w:val="767B3C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qFormat/>
    <w:uiPriority w:val="0"/>
    <w:pPr>
      <w:spacing w:before="100" w:beforeAutospacing="1" w:after="100" w:afterAutospacing="1"/>
      <w:outlineLvl w:val="0"/>
    </w:pPr>
    <w:rPr>
      <w:b/>
      <w:bCs/>
      <w:kern w:val="44"/>
      <w:sz w:val="48"/>
      <w:szCs w:val="48"/>
    </w:rPr>
  </w:style>
  <w:style w:type="paragraph" w:styleId="3">
    <w:name w:val="heading 2"/>
    <w:basedOn w:val="1"/>
    <w:next w:val="1"/>
    <w:qFormat/>
    <w:uiPriority w:val="0"/>
    <w:pPr>
      <w:spacing w:before="100" w:beforeAutospacing="1" w:after="100" w:afterAutospacing="1"/>
      <w:outlineLvl w:val="1"/>
    </w:pPr>
    <w:rPr>
      <w:b/>
      <w:bCs/>
      <w:sz w:val="36"/>
      <w:szCs w:val="36"/>
    </w:rPr>
  </w:style>
  <w:style w:type="paragraph" w:styleId="4">
    <w:name w:val="heading 3"/>
    <w:basedOn w:val="1"/>
    <w:next w:val="1"/>
    <w:qFormat/>
    <w:uiPriority w:val="0"/>
    <w:pPr>
      <w:spacing w:before="100" w:beforeAutospacing="1" w:after="100" w:afterAutospacing="1"/>
      <w:outlineLvl w:val="2"/>
    </w:pPr>
    <w:rPr>
      <w:b/>
      <w:bCs/>
      <w:sz w:val="27"/>
      <w:szCs w:val="27"/>
    </w:rPr>
  </w:style>
  <w:style w:type="paragraph" w:styleId="5">
    <w:name w:val="heading 4"/>
    <w:basedOn w:val="1"/>
    <w:next w:val="1"/>
    <w:qFormat/>
    <w:uiPriority w:val="0"/>
    <w:pPr>
      <w:spacing w:before="100" w:beforeAutospacing="1" w:after="100" w:afterAutospacing="1"/>
      <w:outlineLvl w:val="3"/>
    </w:pPr>
    <w:rPr>
      <w:b/>
      <w:bCs/>
    </w:rPr>
  </w:style>
  <w:style w:type="paragraph" w:styleId="6">
    <w:name w:val="heading 5"/>
    <w:basedOn w:val="1"/>
    <w:next w:val="1"/>
    <w:qFormat/>
    <w:uiPriority w:val="0"/>
    <w:pPr>
      <w:spacing w:before="100" w:beforeAutospacing="1" w:after="100" w:afterAutospacing="1"/>
      <w:outlineLvl w:val="4"/>
    </w:pPr>
    <w:rPr>
      <w:b/>
      <w:bCs/>
      <w:sz w:val="20"/>
      <w:szCs w:val="20"/>
    </w:rPr>
  </w:style>
  <w:style w:type="paragraph" w:styleId="7">
    <w:name w:val="heading 6"/>
    <w:basedOn w:val="1"/>
    <w:next w:val="1"/>
    <w:qFormat/>
    <w:uiPriority w:val="0"/>
    <w:pPr>
      <w:spacing w:before="100" w:beforeAutospacing="1" w:after="100" w:afterAutospacing="1"/>
      <w:outlineLvl w:val="5"/>
    </w:pPr>
    <w:rPr>
      <w:b/>
      <w:bCs/>
      <w:sz w:val="15"/>
      <w:szCs w:val="15"/>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8">
    <w:name w:val="HTML Preformatted"/>
    <w:basedOn w:val="1"/>
    <w:qFormat/>
    <w:uiPriority w:val="0"/>
  </w:style>
  <w:style w:type="paragraph" w:styleId="9">
    <w:name w:val="Normal (Web)"/>
    <w:basedOn w:val="1"/>
    <w:qFormat/>
    <w:uiPriority w:val="0"/>
    <w:pPr>
      <w:spacing w:before="100" w:beforeAutospacing="1" w:after="100" w:afterAutospacing="1"/>
    </w:pPr>
  </w:style>
  <w:style w:type="character" w:customStyle="1" w:styleId="12">
    <w:name w:val="标题 1 Char"/>
    <w:basedOn w:val="11"/>
    <w:qFormat/>
    <w:uiPriority w:val="0"/>
    <w:rPr>
      <w:rFonts w:ascii="宋体" w:hAnsi="宋体" w:eastAsia="宋体" w:cs="宋体"/>
      <w:b/>
      <w:bCs/>
      <w:kern w:val="44"/>
      <w:sz w:val="44"/>
      <w:szCs w:val="44"/>
    </w:rPr>
  </w:style>
  <w:style w:type="character" w:customStyle="1" w:styleId="13">
    <w:name w:val="标题 2 Char"/>
    <w:basedOn w:val="11"/>
    <w:qFormat/>
    <w:uiPriority w:val="0"/>
    <w:rPr>
      <w:rFonts w:asciiTheme="majorHAnsi" w:hAnsiTheme="majorHAnsi" w:eastAsiaTheme="majorEastAsia" w:cstheme="majorBidi"/>
      <w:b/>
      <w:bCs/>
      <w:sz w:val="32"/>
      <w:szCs w:val="32"/>
    </w:rPr>
  </w:style>
  <w:style w:type="character" w:customStyle="1" w:styleId="14">
    <w:name w:val="标题 3 Char"/>
    <w:basedOn w:val="11"/>
    <w:qFormat/>
    <w:uiPriority w:val="0"/>
    <w:rPr>
      <w:rFonts w:ascii="宋体" w:hAnsi="宋体" w:eastAsia="宋体" w:cs="宋体"/>
      <w:b/>
      <w:bCs/>
      <w:sz w:val="32"/>
      <w:szCs w:val="32"/>
    </w:rPr>
  </w:style>
  <w:style w:type="character" w:customStyle="1" w:styleId="15">
    <w:name w:val="标题 4 Char"/>
    <w:basedOn w:val="11"/>
    <w:qFormat/>
    <w:uiPriority w:val="0"/>
    <w:rPr>
      <w:rFonts w:asciiTheme="majorHAnsi" w:hAnsiTheme="majorHAnsi" w:eastAsiaTheme="majorEastAsia" w:cstheme="majorBidi"/>
      <w:b/>
      <w:bCs/>
      <w:sz w:val="28"/>
      <w:szCs w:val="28"/>
    </w:rPr>
  </w:style>
  <w:style w:type="character" w:customStyle="1" w:styleId="16">
    <w:name w:val="标题 5 Char"/>
    <w:basedOn w:val="11"/>
    <w:qFormat/>
    <w:uiPriority w:val="0"/>
    <w:rPr>
      <w:rFonts w:ascii="宋体" w:hAnsi="宋体" w:eastAsia="宋体" w:cs="宋体"/>
      <w:b/>
      <w:bCs/>
      <w:sz w:val="28"/>
      <w:szCs w:val="28"/>
    </w:rPr>
  </w:style>
  <w:style w:type="character" w:customStyle="1" w:styleId="17">
    <w:name w:val="标题 6 Char"/>
    <w:basedOn w:val="11"/>
    <w:qFormat/>
    <w:uiPriority w:val="0"/>
    <w:rPr>
      <w:rFonts w:asciiTheme="majorHAnsi" w:hAnsiTheme="majorHAnsi" w:eastAsiaTheme="majorEastAsia" w:cstheme="majorBidi"/>
      <w:b/>
      <w:bCs/>
      <w:sz w:val="24"/>
      <w:szCs w:val="24"/>
    </w:rPr>
  </w:style>
  <w:style w:type="character" w:customStyle="1" w:styleId="18">
    <w:name w:val="HTML 预设格式 Char"/>
    <w:basedOn w:val="11"/>
    <w:qFormat/>
    <w:uiPriority w:val="0"/>
    <w:rPr>
      <w:rFonts w:ascii="Courier New" w:hAnsi="Courier New" w:eastAsia="宋体" w:cs="Courier New"/>
    </w:rPr>
  </w:style>
  <w:style w:type="character" w:customStyle="1" w:styleId="19">
    <w:name w:val="10"/>
    <w:basedOn w:val="11"/>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913</Words>
  <Characters>5208</Characters>
  <Lines>43</Lines>
  <Paragraphs>12</Paragraphs>
  <TotalTime>3</TotalTime>
  <ScaleCrop>false</ScaleCrop>
  <LinksUpToDate>false</LinksUpToDate>
  <CharactersWithSpaces>6109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2020-09-01T14:52:00Z</dcterms:created>
  <dc:creator>zhangwenlan</dc:creator>
  <cp:lastModifiedBy>kylin</cp:lastModifiedBy>
  <dcterms:modified xsi:type="dcterms:W3CDTF">2025-12-12T16:40:09Z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A0FAA7C0C886E17EE9D43B69B5DB1F73_42</vt:lpwstr>
  </property>
</Properties>
</file>