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p>
    <w:p>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p>
    <w:p>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p>
    <w:p>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p>
    <w:p>
      <w:pPr>
        <w:autoSpaceDE w:val="0"/>
        <w:autoSpaceDN w:val="0"/>
        <w:adjustRightInd w:val="0"/>
        <w:spacing w:before="100" w:beforeAutospacing="1" w:after="100" w:afterAutospacing="1" w:line="580" w:lineRule="exact"/>
        <w:ind w:firstLine="600"/>
        <w:jc w:val="center"/>
        <w:rPr>
          <w:rFonts w:ascii="Times New Roman" w:hAnsi="Times New Roman" w:cs="Times New Roman"/>
          <w:b/>
          <w:bCs/>
          <w:sz w:val="36"/>
          <w:szCs w:val="36"/>
        </w:rPr>
      </w:pPr>
    </w:p>
    <w:p>
      <w:pPr>
        <w:autoSpaceDE w:val="0"/>
        <w:autoSpaceDN w:val="0"/>
        <w:adjustRightInd w:val="0"/>
        <w:spacing w:before="100" w:beforeAutospacing="1" w:after="100" w:afterAutospacing="1"/>
        <w:ind w:firstLine="601"/>
        <w:jc w:val="center"/>
        <w:rPr>
          <w:color w:val="000000" w:themeColor="text1"/>
          <w:shd w:val="clear" w:color="FFFFFF" w:fill="D9D9D9"/>
        </w:rPr>
      </w:pPr>
      <w:r>
        <w:rPr>
          <w:rFonts w:hint="eastAsia" w:ascii="仿宋_GB2312" w:hAnsi="Times New Roman" w:eastAsia="仿宋_GB2312" w:cs="仿宋_GB2312"/>
          <w:b/>
          <w:bCs/>
          <w:color w:val="000000" w:themeColor="text1"/>
          <w:sz w:val="44"/>
          <w:szCs w:val="44"/>
          <w:shd w:val="clear" w:color="FFFFFF" w:fill="D9D9D9"/>
        </w:rPr>
        <w:t>内蒙古自治区呼伦贝尔市公安局海拉尔分局</w:t>
      </w:r>
    </w:p>
    <w:p>
      <w:pPr>
        <w:autoSpaceDE w:val="0"/>
        <w:autoSpaceDN w:val="0"/>
        <w:adjustRightInd w:val="0"/>
        <w:spacing w:before="100" w:beforeAutospacing="1" w:after="100" w:afterAutospacing="1"/>
        <w:ind w:firstLine="601"/>
        <w:jc w:val="center"/>
        <w:rPr>
          <w:rFonts w:ascii="Times New Roman" w:hAnsi="Times New Roman" w:eastAsia="仿宋_GB2312" w:cs="Times New Roman"/>
          <w:b/>
          <w:bCs/>
          <w:sz w:val="44"/>
          <w:szCs w:val="44"/>
        </w:rPr>
      </w:pPr>
      <w:r>
        <w:rPr>
          <w:rFonts w:hint="eastAsia" w:ascii="仿宋_GB2312" w:hAnsi="Times New Roman" w:eastAsia="仿宋_GB2312" w:cs="仿宋_GB2312"/>
          <w:b/>
          <w:bCs/>
          <w:sz w:val="44"/>
          <w:szCs w:val="44"/>
        </w:rPr>
        <w:t>2019年度决算公开报告</w:t>
      </w:r>
    </w:p>
    <w:p>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p>
    <w:p>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p>
    <w:p>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p>
    <w:p>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p>
    <w:p>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p>
    <w:p>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p>
    <w:p>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p>
    <w:p>
      <w:pPr>
        <w:autoSpaceDE w:val="0"/>
        <w:autoSpaceDN w:val="0"/>
        <w:adjustRightInd w:val="0"/>
        <w:spacing w:before="100" w:beforeAutospacing="1" w:after="100" w:afterAutospacing="1" w:line="580" w:lineRule="exact"/>
        <w:ind w:firstLine="600"/>
        <w:jc w:val="center"/>
        <w:rPr>
          <w:rFonts w:ascii="Times New Roman" w:hAnsi="Times New Roman" w:eastAsia="仿宋_GB2312" w:cs="Times New Roman"/>
          <w:b/>
          <w:bCs/>
          <w:sz w:val="36"/>
          <w:szCs w:val="36"/>
        </w:rPr>
      </w:pPr>
    </w:p>
    <w:p>
      <w:pPr>
        <w:autoSpaceDE w:val="0"/>
        <w:autoSpaceDN w:val="0"/>
        <w:adjustRightInd w:val="0"/>
        <w:spacing w:before="100" w:beforeAutospacing="1" w:after="100" w:afterAutospacing="1"/>
        <w:ind w:firstLine="601"/>
        <w:jc w:val="center"/>
        <w:rPr>
          <w:rFonts w:ascii="Times New Roman" w:hAnsi="Times New Roman" w:eastAsia="仿宋_GB2312" w:cs="Times New Roman"/>
          <w:b/>
          <w:bCs/>
          <w:sz w:val="44"/>
          <w:szCs w:val="44"/>
        </w:rPr>
      </w:pPr>
      <w:r>
        <w:rPr>
          <w:rFonts w:hint="eastAsia" w:ascii="仿宋_GB2312" w:hAnsi="Times New Roman" w:eastAsia="仿宋_GB2312" w:cs="仿宋_GB2312"/>
          <w:b/>
          <w:bCs/>
          <w:sz w:val="44"/>
          <w:szCs w:val="44"/>
        </w:rPr>
        <w:t>目录</w:t>
      </w:r>
    </w:p>
    <w:p>
      <w:pPr>
        <w:autoSpaceDE w:val="0"/>
        <w:autoSpaceDN w:val="0"/>
        <w:adjustRightInd w:val="0"/>
        <w:spacing w:before="100" w:beforeAutospacing="1" w:after="100" w:afterAutospacing="1"/>
        <w:ind w:firstLine="601"/>
        <w:rPr>
          <w:rFonts w:ascii="Times New Roman" w:hAnsi="Times New Roman" w:eastAsia="仿宋_GB2312" w:cs="Times New Roman"/>
          <w:b/>
          <w:bCs/>
          <w:sz w:val="44"/>
          <w:szCs w:val="44"/>
        </w:rPr>
      </w:pPr>
    </w:p>
    <w:p>
      <w:pPr>
        <w:autoSpaceDE w:val="0"/>
        <w:autoSpaceDN w:val="0"/>
        <w:adjustRightInd w:val="0"/>
        <w:spacing w:before="100" w:beforeAutospacing="1" w:after="100" w:afterAutospacing="1" w:line="580" w:lineRule="exact"/>
        <w:ind w:firstLine="601"/>
        <w:rPr>
          <w:rFonts w:ascii="Times New Roman" w:hAnsi="Times New Roman" w:eastAsia="黑体" w:cs="Times New Roman"/>
          <w:b/>
          <w:bCs/>
          <w:sz w:val="32"/>
          <w:szCs w:val="32"/>
        </w:rPr>
      </w:pPr>
      <w:r>
        <w:rPr>
          <w:rFonts w:hint="eastAsia" w:ascii="黑体" w:hAnsi="Times New Roman" w:eastAsia="黑体" w:cs="黑体"/>
          <w:b/>
          <w:bCs/>
          <w:sz w:val="32"/>
          <w:szCs w:val="32"/>
        </w:rPr>
        <w:t>第一部分 部门基本情况</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一、部门职责</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二、机构设置</w:t>
      </w:r>
    </w:p>
    <w:p>
      <w:pPr>
        <w:autoSpaceDE w:val="0"/>
        <w:autoSpaceDN w:val="0"/>
        <w:adjustRightInd w:val="0"/>
        <w:spacing w:before="100" w:beforeAutospacing="1" w:after="100" w:afterAutospacing="1" w:line="580" w:lineRule="exact"/>
        <w:ind w:firstLine="601"/>
        <w:rPr>
          <w:rFonts w:ascii="Times New Roman" w:hAnsi="Times New Roman" w:eastAsia="黑体" w:cs="Times New Roman"/>
          <w:b/>
          <w:bCs/>
          <w:sz w:val="32"/>
          <w:szCs w:val="32"/>
        </w:rPr>
      </w:pPr>
      <w:r>
        <w:rPr>
          <w:rFonts w:hint="eastAsia" w:ascii="黑体" w:hAnsi="Times New Roman" w:eastAsia="黑体" w:cs="黑体"/>
          <w:b/>
          <w:bCs/>
          <w:sz w:val="32"/>
          <w:szCs w:val="32"/>
        </w:rPr>
        <w:t>第二部分 2019年度部门决算情况说明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一、关于2019年度预算执行情况分析</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二、关于2019年度决算情况说明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（一）关于收支情况总体说明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（二）关于2019年度收入决算情况说明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（三）关于2019年度支出决算情况说明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（四）关于2019年度财政拨款收入支出决算总体情况说明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（五）关于2019年度一般公共预算财政拨款支出决算情况说明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（六）关于2019年度一般公共预算财政拨款基本支出决算情况说明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（七）关于2019年度财政拨款</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经费支出决算情况说明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Times New Roman" w:hAnsi="Times New Roman" w:eastAsia="仿宋_GB2312" w:cs="Times New Roman"/>
          <w:sz w:val="32"/>
          <w:szCs w:val="32"/>
        </w:rPr>
        <w:tab/>
      </w:r>
      <w:r>
        <w:rPr>
          <w:rFonts w:hint="eastAsia" w:ascii="仿宋_GB2312" w:hAnsi="Times New Roman" w:eastAsia="仿宋_GB2312" w:cs="仿宋_GB2312"/>
          <w:sz w:val="32"/>
          <w:szCs w:val="32"/>
        </w:rPr>
        <w:t>1、财政拨款</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经费支出决算总体情况说明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ascii="Times New Roman" w:hAnsi="Times New Roman" w:eastAsia="仿宋_GB2312" w:cs="Times New Roman"/>
          <w:sz w:val="32"/>
          <w:szCs w:val="32"/>
        </w:rPr>
        <w:tab/>
      </w:r>
      <w:r>
        <w:rPr>
          <w:rFonts w:hint="eastAsia" w:ascii="仿宋_GB2312" w:hAnsi="Times New Roman" w:eastAsia="仿宋_GB2312" w:cs="仿宋_GB2312"/>
          <w:sz w:val="32"/>
          <w:szCs w:val="32"/>
        </w:rPr>
        <w:t>2、财政拨款</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经费支出决算具体情况说明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三、预算绩效情况说明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（一）预算绩效管理工作开展情况</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（二）部门决算</w:t>
      </w:r>
      <w:r>
        <w:rPr>
          <w:rStyle w:val="4"/>
          <w:rFonts w:hint="eastAsia" w:ascii="仿宋_GB2312" w:hAnsi="Times New Roman" w:eastAsia="仿宋_GB2312" w:cs="仿宋_GB2312"/>
          <w:sz w:val="32"/>
          <w:szCs w:val="32"/>
        </w:rPr>
        <w:t>中项目</w:t>
      </w:r>
      <w:r>
        <w:rPr>
          <w:rFonts w:hint="eastAsia" w:ascii="仿宋_GB2312" w:hAnsi="Times New Roman" w:eastAsia="仿宋_GB2312" w:cs="仿宋_GB2312"/>
          <w:sz w:val="32"/>
          <w:szCs w:val="32"/>
        </w:rPr>
        <w:t>绩效自评结果</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四、其他重要事项的情况说明</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（一）机关运行经费支出情况</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（二）政府采购支出情况</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（三）国有资产占用情况</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p>
    <w:p>
      <w:pPr>
        <w:autoSpaceDE w:val="0"/>
        <w:autoSpaceDN w:val="0"/>
        <w:adjustRightInd w:val="0"/>
        <w:spacing w:before="100" w:beforeAutospacing="1" w:after="100" w:afterAutospacing="1" w:line="580" w:lineRule="exact"/>
        <w:ind w:firstLine="601"/>
        <w:rPr>
          <w:rFonts w:ascii="Times New Roman" w:hAnsi="Times New Roman" w:eastAsia="黑体" w:cs="Times New Roman"/>
          <w:b/>
          <w:bCs/>
          <w:sz w:val="32"/>
          <w:szCs w:val="32"/>
        </w:rPr>
      </w:pPr>
      <w:r>
        <w:rPr>
          <w:rFonts w:hint="eastAsia" w:ascii="黑体" w:hAnsi="Times New Roman" w:eastAsia="黑体" w:cs="黑体"/>
          <w:b/>
          <w:bCs/>
          <w:sz w:val="32"/>
          <w:szCs w:val="32"/>
        </w:rPr>
        <w:t>第三部分 名词解释</w:t>
      </w:r>
    </w:p>
    <w:p>
      <w:pPr>
        <w:autoSpaceDE w:val="0"/>
        <w:autoSpaceDN w:val="0"/>
        <w:adjustRightInd w:val="0"/>
        <w:spacing w:before="100" w:beforeAutospacing="1" w:after="100" w:afterAutospacing="1" w:line="580" w:lineRule="exact"/>
        <w:ind w:firstLine="601"/>
        <w:rPr>
          <w:rFonts w:ascii="Times New Roman" w:hAnsi="Times New Roman" w:eastAsia="黑体" w:cs="Times New Roman"/>
          <w:b/>
          <w:bCs/>
          <w:sz w:val="32"/>
          <w:szCs w:val="32"/>
        </w:rPr>
      </w:pPr>
      <w:r>
        <w:rPr>
          <w:rFonts w:hint="eastAsia" w:ascii="黑体" w:hAnsi="Times New Roman" w:eastAsia="黑体" w:cs="黑体"/>
          <w:b/>
          <w:bCs/>
          <w:sz w:val="32"/>
          <w:szCs w:val="32"/>
        </w:rPr>
        <w:t>第四部分 决算公开联系方式及信息反馈渠道</w:t>
      </w:r>
    </w:p>
    <w:p>
      <w:pPr>
        <w:autoSpaceDE w:val="0"/>
        <w:autoSpaceDN w:val="0"/>
        <w:adjustRightInd w:val="0"/>
        <w:spacing w:before="100" w:beforeAutospacing="1" w:after="100" w:afterAutospacing="1" w:line="580" w:lineRule="exact"/>
        <w:ind w:firstLine="601"/>
        <w:rPr>
          <w:rFonts w:ascii="Times New Roman" w:hAnsi="Times New Roman" w:eastAsia="黑体" w:cs="Times New Roman"/>
          <w:b/>
          <w:bCs/>
          <w:sz w:val="32"/>
          <w:szCs w:val="32"/>
        </w:rPr>
      </w:pPr>
      <w:r>
        <w:rPr>
          <w:rFonts w:hint="eastAsia" w:ascii="黑体" w:hAnsi="Times New Roman" w:eastAsia="黑体" w:cs="黑体"/>
          <w:b/>
          <w:bCs/>
          <w:sz w:val="32"/>
          <w:szCs w:val="32"/>
        </w:rPr>
        <w:t>第五部分 部门决算公开表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一、收入支出决算总表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二、收入决算表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三、支出决算表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四、财政拨款收入支出决算总表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五、一般公共预算财政拨款支出决算表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六、一般公共预算财政拨款基本支出决算明细表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七、政府性基金预算财政拨款收入支出决算表</w:t>
      </w:r>
    </w:p>
    <w:p>
      <w:pPr>
        <w:autoSpaceDE w:val="0"/>
        <w:autoSpaceDN w:val="0"/>
        <w:adjustRightInd w:val="0"/>
        <w:spacing w:before="100" w:beforeAutospacing="1" w:after="100" w:afterAutospacing="1" w:line="580" w:lineRule="exact"/>
        <w:ind w:firstLine="601"/>
        <w:rPr>
          <w:rFonts w:ascii="Times New Roman" w:hAnsi="Times New Roman" w:eastAsia="仿宋_GB2312" w:cs="Times New Roman"/>
          <w:sz w:val="32"/>
          <w:szCs w:val="32"/>
        </w:rPr>
      </w:pPr>
      <w:r>
        <w:rPr>
          <w:rFonts w:hint="eastAsia" w:ascii="仿宋_GB2312" w:hAnsi="Times New Roman" w:eastAsia="仿宋_GB2312" w:cs="仿宋_GB2312"/>
          <w:sz w:val="32"/>
          <w:szCs w:val="32"/>
        </w:rPr>
        <w:t>八、机构运行信息表</w:t>
      </w:r>
    </w:p>
    <w:p>
      <w:pPr>
        <w:autoSpaceDE w:val="0"/>
        <w:autoSpaceDN w:val="0"/>
        <w:adjustRightInd w:val="0"/>
        <w:spacing w:before="100" w:beforeAutospacing="1" w:after="100" w:afterAutospacing="1"/>
        <w:ind w:firstLine="601"/>
        <w:rPr>
          <w:rFonts w:ascii="Times New Roman" w:hAnsi="Times New Roman" w:eastAsia="仿宋_GB2312" w:cs="Times New Roman"/>
          <w:b/>
          <w:bCs/>
          <w:sz w:val="44"/>
          <w:szCs w:val="44"/>
        </w:rPr>
      </w:pPr>
    </w:p>
    <w:p>
      <w:r>
        <w:t xml:space="preserve">  </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b/>
          <w:bCs/>
          <w:sz w:val="32"/>
          <w:szCs w:val="32"/>
        </w:rPr>
        <w:t>第一部分 部门基本情况</w:t>
      </w:r>
    </w:p>
    <w:p>
      <w:pPr>
        <w:autoSpaceDE w:val="0"/>
        <w:autoSpaceDN w:val="0"/>
        <w:adjustRightInd w:val="0"/>
        <w:spacing w:before="100" w:beforeAutospacing="1" w:after="100" w:afterAutospacing="1" w:line="580" w:lineRule="exact"/>
        <w:ind w:firstLine="600"/>
        <w:rPr>
          <w:rFonts w:ascii="仿宋_GB2312" w:hAnsi="Times New Roman" w:eastAsia="仿宋_GB2312" w:cs="仿宋_GB2312"/>
          <w:sz w:val="32"/>
          <w:szCs w:val="32"/>
        </w:rPr>
      </w:pPr>
      <w:r>
        <w:rPr>
          <w:rFonts w:hint="eastAsia" w:ascii="仿宋_GB2312" w:hAnsi="Times New Roman" w:eastAsia="仿宋_GB2312" w:cs="仿宋_GB2312"/>
          <w:sz w:val="32"/>
          <w:szCs w:val="32"/>
        </w:rPr>
        <w:t>一、部门职责</w:t>
      </w:r>
    </w:p>
    <w:p>
      <w:pPr>
        <w:spacing w:line="480" w:lineRule="auto"/>
        <w:ind w:firstLine="720" w:firstLineChars="225"/>
        <w:rPr>
          <w:rFonts w:ascii="仿宋_GB2312" w:hAnsi="仿宋" w:eastAsia="仿宋_GB2312"/>
          <w:color w:val="000000"/>
          <w:sz w:val="32"/>
          <w:szCs w:val="32"/>
        </w:rPr>
      </w:pPr>
      <w:r>
        <w:rPr>
          <w:rFonts w:hint="eastAsia" w:ascii="仿宋_GB2312" w:hAnsi="仿宋" w:eastAsia="仿宋_GB2312" w:cs="仿宋_GB2312"/>
          <w:color w:val="000000"/>
          <w:sz w:val="32"/>
          <w:szCs w:val="32"/>
        </w:rPr>
        <w:t>公安机关是政府的重要组成部分，是国家的行政机关，同时它又担负着刑事案件的侦查任务，因而它又是国家的司法机关之一。公安机关是政府的一个职能部门，依法管理社会治安，行使国家的行政权，同时公安机关的性质具有双重性，既有行政性又有司法性。</w:t>
      </w:r>
    </w:p>
    <w:p>
      <w:pPr>
        <w:spacing w:line="480" w:lineRule="auto"/>
        <w:ind w:firstLine="720" w:firstLineChars="225"/>
        <w:rPr>
          <w:rFonts w:ascii="仿宋_GB2312" w:hAnsi="仿宋" w:eastAsia="仿宋_GB2312"/>
          <w:color w:val="000000"/>
          <w:sz w:val="32"/>
          <w:szCs w:val="32"/>
        </w:rPr>
      </w:pPr>
      <w:r>
        <w:rPr>
          <w:rFonts w:hint="eastAsia" w:ascii="仿宋_GB2312" w:hAnsi="仿宋" w:eastAsia="仿宋_GB2312" w:cs="仿宋_GB2312"/>
          <w:color w:val="000000"/>
          <w:sz w:val="32"/>
          <w:szCs w:val="32"/>
        </w:rPr>
        <w:t>公安机关具体的职责是：</w:t>
      </w:r>
    </w:p>
    <w:p>
      <w:pPr>
        <w:widowControl w:val="0"/>
        <w:numPr>
          <w:ilvl w:val="0"/>
          <w:numId w:val="1"/>
        </w:numPr>
        <w:spacing w:line="480" w:lineRule="auto"/>
        <w:jc w:val="both"/>
        <w:rPr>
          <w:rFonts w:ascii="仿宋_GB2312" w:hAnsi="仿宋" w:eastAsia="仿宋_GB2312"/>
          <w:color w:val="000000"/>
          <w:sz w:val="32"/>
          <w:szCs w:val="32"/>
        </w:rPr>
      </w:pPr>
      <w:r>
        <w:rPr>
          <w:rFonts w:hint="eastAsia" w:ascii="仿宋_GB2312" w:hAnsi="仿宋" w:eastAsia="仿宋_GB2312" w:cs="仿宋_GB2312"/>
          <w:color w:val="000000"/>
          <w:sz w:val="32"/>
          <w:szCs w:val="32"/>
        </w:rPr>
        <w:t>预防、制止和侦查违法犯罪活动；</w:t>
      </w:r>
    </w:p>
    <w:p>
      <w:pPr>
        <w:widowControl w:val="0"/>
        <w:numPr>
          <w:ilvl w:val="0"/>
          <w:numId w:val="1"/>
        </w:numPr>
        <w:tabs>
          <w:tab w:val="clear" w:pos="1260"/>
        </w:tabs>
        <w:spacing w:line="480" w:lineRule="auto"/>
        <w:ind w:left="0" w:firstLine="540"/>
        <w:jc w:val="both"/>
        <w:rPr>
          <w:rFonts w:ascii="仿宋_GB2312" w:hAnsi="仿宋" w:eastAsia="仿宋_GB2312"/>
          <w:color w:val="000000"/>
          <w:sz w:val="32"/>
          <w:szCs w:val="32"/>
        </w:rPr>
      </w:pPr>
      <w:r>
        <w:rPr>
          <w:rFonts w:hint="eastAsia" w:ascii="仿宋_GB2312" w:hAnsi="仿宋" w:eastAsia="仿宋_GB2312" w:cs="仿宋_GB2312"/>
          <w:color w:val="000000"/>
          <w:sz w:val="32"/>
          <w:szCs w:val="32"/>
        </w:rPr>
        <w:t>防范、打击恐怖活动；维护社会治安秩序，制止危害社会治安秩序的行为；管理交通、消防、危险物品；</w:t>
      </w:r>
    </w:p>
    <w:p>
      <w:pPr>
        <w:widowControl w:val="0"/>
        <w:numPr>
          <w:ilvl w:val="0"/>
          <w:numId w:val="1"/>
        </w:numPr>
        <w:tabs>
          <w:tab w:val="left" w:pos="0"/>
          <w:tab w:val="clear" w:pos="1260"/>
        </w:tabs>
        <w:spacing w:line="480" w:lineRule="auto"/>
        <w:ind w:left="0" w:firstLine="540"/>
        <w:jc w:val="both"/>
        <w:rPr>
          <w:rFonts w:ascii="仿宋_GB2312" w:hAnsi="仿宋" w:eastAsia="仿宋_GB2312"/>
          <w:color w:val="000000"/>
          <w:sz w:val="32"/>
          <w:szCs w:val="32"/>
        </w:rPr>
      </w:pPr>
      <w:r>
        <w:rPr>
          <w:rFonts w:hint="eastAsia" w:ascii="仿宋_GB2312" w:hAnsi="仿宋" w:eastAsia="仿宋_GB2312" w:cs="仿宋_GB2312"/>
          <w:color w:val="000000"/>
          <w:sz w:val="32"/>
          <w:szCs w:val="32"/>
        </w:rPr>
        <w:t>管理户口、公民身份证、国籍、入境事务和外国人在中国境内居留、旅行的有关事务；</w:t>
      </w:r>
    </w:p>
    <w:p>
      <w:pPr>
        <w:widowControl w:val="0"/>
        <w:numPr>
          <w:ilvl w:val="0"/>
          <w:numId w:val="1"/>
        </w:numPr>
        <w:spacing w:line="480" w:lineRule="auto"/>
        <w:jc w:val="both"/>
        <w:rPr>
          <w:rFonts w:ascii="仿宋_GB2312" w:hAnsi="仿宋" w:eastAsia="仿宋_GB2312"/>
          <w:color w:val="000000"/>
          <w:sz w:val="32"/>
          <w:szCs w:val="32"/>
        </w:rPr>
      </w:pPr>
      <w:r>
        <w:rPr>
          <w:rFonts w:hint="eastAsia" w:ascii="仿宋_GB2312" w:hAnsi="仿宋" w:eastAsia="仿宋_GB2312" w:cs="仿宋_GB2312"/>
          <w:color w:val="000000"/>
          <w:sz w:val="32"/>
          <w:szCs w:val="32"/>
        </w:rPr>
        <w:t>维护国（边）境地区的治安秩序；</w:t>
      </w:r>
    </w:p>
    <w:p>
      <w:pPr>
        <w:widowControl w:val="0"/>
        <w:numPr>
          <w:ilvl w:val="0"/>
          <w:numId w:val="1"/>
        </w:numPr>
        <w:tabs>
          <w:tab w:val="clear" w:pos="1260"/>
        </w:tabs>
        <w:spacing w:line="480" w:lineRule="auto"/>
        <w:ind w:left="0" w:firstLine="540"/>
        <w:jc w:val="both"/>
        <w:rPr>
          <w:rFonts w:ascii="仿宋_GB2312" w:hAnsi="仿宋" w:eastAsia="仿宋_GB2312"/>
          <w:color w:val="000000"/>
          <w:sz w:val="32"/>
          <w:szCs w:val="32"/>
        </w:rPr>
      </w:pPr>
      <w:r>
        <w:rPr>
          <w:rFonts w:hint="eastAsia" w:ascii="仿宋_GB2312" w:hAnsi="仿宋" w:eastAsia="仿宋_GB2312" w:cs="仿宋_GB2312"/>
          <w:color w:val="000000"/>
          <w:sz w:val="32"/>
          <w:szCs w:val="32"/>
        </w:rPr>
        <w:t>警卫国家规定的特定人员、守卫重要场所和设施；</w:t>
      </w:r>
    </w:p>
    <w:p>
      <w:pPr>
        <w:widowControl w:val="0"/>
        <w:numPr>
          <w:ilvl w:val="0"/>
          <w:numId w:val="1"/>
        </w:numPr>
        <w:spacing w:line="480" w:lineRule="auto"/>
        <w:jc w:val="both"/>
        <w:rPr>
          <w:rFonts w:ascii="仿宋_GB2312" w:hAnsi="仿宋" w:eastAsia="仿宋_GB2312"/>
          <w:color w:val="000000"/>
          <w:sz w:val="32"/>
          <w:szCs w:val="32"/>
        </w:rPr>
      </w:pPr>
      <w:r>
        <w:rPr>
          <w:rFonts w:hint="eastAsia" w:ascii="仿宋_GB2312" w:hAnsi="仿宋" w:eastAsia="仿宋_GB2312" w:cs="仿宋_GB2312"/>
          <w:color w:val="000000"/>
          <w:sz w:val="32"/>
          <w:szCs w:val="32"/>
        </w:rPr>
        <w:t>管理集会、游行和示威活动；</w:t>
      </w:r>
    </w:p>
    <w:p>
      <w:pPr>
        <w:widowControl w:val="0"/>
        <w:numPr>
          <w:ilvl w:val="0"/>
          <w:numId w:val="1"/>
        </w:numPr>
        <w:spacing w:line="480" w:lineRule="auto"/>
        <w:jc w:val="both"/>
        <w:rPr>
          <w:rFonts w:ascii="仿宋_GB2312" w:hAnsi="仿宋" w:eastAsia="仿宋_GB2312"/>
          <w:color w:val="000000"/>
          <w:sz w:val="32"/>
          <w:szCs w:val="32"/>
        </w:rPr>
      </w:pPr>
      <w:r>
        <w:rPr>
          <w:rFonts w:hint="eastAsia" w:ascii="仿宋_GB2312" w:hAnsi="仿宋" w:eastAsia="仿宋_GB2312" w:cs="仿宋_GB2312"/>
          <w:color w:val="000000"/>
          <w:sz w:val="32"/>
          <w:szCs w:val="32"/>
        </w:rPr>
        <w:t>监督管理公共信息网络的安全监察工作；</w:t>
      </w:r>
    </w:p>
    <w:p>
      <w:pPr>
        <w:widowControl w:val="0"/>
        <w:numPr>
          <w:ilvl w:val="0"/>
          <w:numId w:val="1"/>
        </w:numPr>
        <w:tabs>
          <w:tab w:val="left" w:pos="0"/>
          <w:tab w:val="clear" w:pos="1260"/>
        </w:tabs>
        <w:spacing w:line="480" w:lineRule="auto"/>
        <w:ind w:left="0" w:firstLine="540"/>
        <w:jc w:val="both"/>
        <w:rPr>
          <w:rFonts w:ascii="仿宋_GB2312" w:hAnsi="仿宋" w:eastAsia="仿宋_GB2312"/>
          <w:color w:val="000000"/>
          <w:sz w:val="32"/>
          <w:szCs w:val="32"/>
        </w:rPr>
      </w:pPr>
      <w:r>
        <w:rPr>
          <w:rFonts w:hint="eastAsia" w:ascii="仿宋_GB2312" w:hAnsi="仿宋" w:eastAsia="仿宋_GB2312" w:cs="仿宋_GB2312"/>
          <w:color w:val="000000"/>
          <w:sz w:val="32"/>
          <w:szCs w:val="32"/>
        </w:rPr>
        <w:t>指导和监督国家机关、社会团体、企业事业组织和重点建设工程的治安保卫工作，指导治安保卫委员会等民众性治安保卫组织的治安防范工作。</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二、机构设置</w:t>
      </w:r>
    </w:p>
    <w:p>
      <w:pPr>
        <w:snapToGrid w:val="0"/>
        <w:spacing w:line="560" w:lineRule="exact"/>
        <w:ind w:firstLine="640" w:firstLineChars="200"/>
        <w:rPr>
          <w:rFonts w:ascii="仿宋_GB2312" w:hAnsi="仿宋" w:eastAsia="仿宋_GB2312"/>
          <w:sz w:val="32"/>
          <w:szCs w:val="32"/>
        </w:rPr>
      </w:pPr>
      <w:r>
        <w:rPr>
          <w:rFonts w:hint="eastAsia" w:ascii="仿宋_GB2312" w:hAnsi="仿宋" w:eastAsia="仿宋_GB2312"/>
          <w:sz w:val="32"/>
          <w:szCs w:val="32"/>
        </w:rPr>
        <w:t>1.呼伦贝尔市公安局海拉尔分局设18个职能部门，分别是纪检委、督察、基层基础大队、信访办、政治处、办公室、指挥中心、法制大队、网络安全保卫大队、国内安全保卫大队、经济犯罪侦查大队、刑事侦查大队、巡逻防控大队、治安管理大队、禁毒大队、特警大队、食品药品环境污染大队、警务保障室； 12个派出所分别是海拉尔公安分局向华街派出所，海拉尔公安分局正阳街派出所，海拉尔公安分局健康街派出所，海拉尔公安分局胜利街派出所，海拉尔公安分局建设街派出所，海拉尔公安分局靠山街派出所，海拉尔公安分局哈克派出所，海拉尔公安分局奋斗派出所，海拉尔公安分局呼伦街派出所，海拉尔公安分局海通路派出所，海拉尔公安分局开发派出所，海拉尔公安分局工业园区派出所。</w:t>
      </w:r>
    </w:p>
    <w:p>
      <w:pPr>
        <w:snapToGrid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2.人员情况</w:t>
      </w:r>
    </w:p>
    <w:p>
      <w:pPr>
        <w:snapToGrid w:val="0"/>
        <w:spacing w:line="560" w:lineRule="exact"/>
        <w:ind w:firstLine="640" w:firstLineChars="200"/>
        <w:rPr>
          <w:rFonts w:ascii="仿宋_GB2312" w:hAnsi="仿宋" w:eastAsia="仿宋_GB2312"/>
          <w:sz w:val="32"/>
          <w:szCs w:val="32"/>
        </w:rPr>
      </w:pPr>
      <w:r>
        <w:rPr>
          <w:rFonts w:hint="eastAsia" w:ascii="仿宋_GB2312" w:hAnsi="仿宋" w:eastAsia="仿宋_GB2312"/>
          <w:sz w:val="32"/>
          <w:szCs w:val="32"/>
        </w:rPr>
        <w:t>全局编制491人，其中事业编制51人，实际在职人数443人，退休人员154人，离休人员2人。</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b/>
          <w:bCs/>
          <w:sz w:val="32"/>
          <w:szCs w:val="32"/>
        </w:rPr>
      </w:pPr>
      <w:r>
        <w:rPr>
          <w:rFonts w:hint="eastAsia" w:ascii="仿宋_GB2312" w:hAnsi="Times New Roman" w:eastAsia="仿宋_GB2312" w:cs="仿宋_GB2312"/>
          <w:b/>
          <w:bCs/>
          <w:sz w:val="32"/>
          <w:szCs w:val="32"/>
        </w:rPr>
        <w:t>第二部分 2019年度部门决算情况说明</w:t>
      </w:r>
    </w:p>
    <w:p>
      <w:pPr>
        <w:pStyle w:val="5"/>
        <w:numPr>
          <w:ilvl w:val="0"/>
          <w:numId w:val="2"/>
        </w:numPr>
        <w:autoSpaceDE w:val="0"/>
        <w:autoSpaceDN w:val="0"/>
        <w:adjustRightInd w:val="0"/>
        <w:spacing w:before="100" w:beforeAutospacing="1" w:after="100" w:afterAutospacing="1" w:line="580" w:lineRule="exact"/>
        <w:ind w:firstLineChars="0"/>
        <w:rPr>
          <w:rFonts w:ascii="仿宋_GB2312" w:hAnsi="Times New Roman" w:eastAsia="仿宋_GB2312" w:cs="仿宋_GB2312"/>
          <w:sz w:val="32"/>
          <w:szCs w:val="32"/>
        </w:rPr>
      </w:pPr>
      <w:r>
        <w:rPr>
          <w:rFonts w:hint="eastAsia" w:ascii="仿宋_GB2312" w:hAnsi="Times New Roman" w:eastAsia="仿宋_GB2312" w:cs="仿宋_GB2312"/>
          <w:sz w:val="32"/>
          <w:szCs w:val="32"/>
        </w:rPr>
        <w:t>关于2019年度预算执行情况分析</w:t>
      </w:r>
    </w:p>
    <w:p>
      <w:pPr>
        <w:autoSpaceDE w:val="0"/>
        <w:autoSpaceDN w:val="0"/>
        <w:adjustRightInd w:val="0"/>
        <w:spacing w:before="100" w:beforeAutospacing="1" w:after="100" w:afterAutospacing="1" w:line="580" w:lineRule="exact"/>
        <w:ind w:left="600" w:firstLine="640" w:firstLineChars="200"/>
        <w:rPr>
          <w:rFonts w:ascii="仿宋_GB2312" w:hAnsi="仿宋" w:eastAsia="仿宋_GB2312"/>
          <w:sz w:val="32"/>
          <w:szCs w:val="32"/>
        </w:rPr>
      </w:pPr>
      <w:r>
        <w:rPr>
          <w:rFonts w:hint="eastAsia" w:ascii="仿宋_GB2312" w:hAnsi="仿宋" w:eastAsia="仿宋_GB2312"/>
          <w:sz w:val="32"/>
          <w:szCs w:val="32"/>
        </w:rPr>
        <w:t>本年度年初一般公共预算财政拨款预算收入7689.15万元，决算收入10253.28万元 ，主要原因为自治区拨付中央转移支付经费。</w:t>
      </w:r>
    </w:p>
    <w:p>
      <w:pPr>
        <w:autoSpaceDE w:val="0"/>
        <w:autoSpaceDN w:val="0"/>
        <w:adjustRightInd w:val="0"/>
        <w:spacing w:before="100" w:beforeAutospacing="1" w:after="100" w:afterAutospacing="1" w:line="580" w:lineRule="exact"/>
        <w:ind w:left="600" w:firstLine="640" w:firstLineChars="200"/>
        <w:rPr>
          <w:rFonts w:ascii="仿宋_GB2312" w:hAnsi="仿宋" w:eastAsia="仿宋_GB2312"/>
          <w:sz w:val="32"/>
          <w:szCs w:val="32"/>
        </w:rPr>
      </w:pPr>
      <w:r>
        <w:rPr>
          <w:rFonts w:hint="eastAsia" w:ascii="仿宋_GB2312" w:hAnsi="仿宋" w:eastAsia="仿宋_GB2312"/>
          <w:sz w:val="32"/>
          <w:szCs w:val="32"/>
        </w:rPr>
        <w:t>本年度年初一般公共预算财政拨款公共安全支出5980.41万元，决算支出8829.02万元，主要原因为人员经费增加及自治区拨付中央转移支付经费。</w:t>
      </w:r>
    </w:p>
    <w:p>
      <w:pPr>
        <w:autoSpaceDE w:val="0"/>
        <w:autoSpaceDN w:val="0"/>
        <w:adjustRightInd w:val="0"/>
        <w:spacing w:before="100" w:beforeAutospacing="1" w:after="100" w:afterAutospacing="1" w:line="580" w:lineRule="exact"/>
        <w:ind w:left="600" w:firstLine="555"/>
        <w:rPr>
          <w:rFonts w:ascii="仿宋_GB2312" w:hAnsi="仿宋" w:eastAsia="仿宋_GB2312"/>
          <w:sz w:val="32"/>
          <w:szCs w:val="32"/>
        </w:rPr>
      </w:pPr>
      <w:r>
        <w:rPr>
          <w:rFonts w:hint="eastAsia" w:ascii="仿宋_GB2312" w:hAnsi="仿宋" w:eastAsia="仿宋_GB2312"/>
          <w:sz w:val="32"/>
          <w:szCs w:val="32"/>
        </w:rPr>
        <w:t>本年度年初一般公共预算财政拨款社会保障和就业支出781.96万元，决算支出983.59万元，主要原因为社保缴费增加。</w:t>
      </w:r>
    </w:p>
    <w:p>
      <w:pPr>
        <w:autoSpaceDE w:val="0"/>
        <w:autoSpaceDN w:val="0"/>
        <w:adjustRightInd w:val="0"/>
        <w:spacing w:before="100" w:beforeAutospacing="1" w:after="100" w:afterAutospacing="1" w:line="580" w:lineRule="exact"/>
        <w:ind w:left="600" w:firstLine="555"/>
        <w:rPr>
          <w:rFonts w:ascii="仿宋_GB2312" w:hAnsi="仿宋" w:eastAsia="仿宋_GB2312"/>
          <w:sz w:val="32"/>
          <w:szCs w:val="32"/>
        </w:rPr>
      </w:pPr>
      <w:r>
        <w:rPr>
          <w:rFonts w:hint="eastAsia" w:ascii="仿宋_GB2312" w:hAnsi="仿宋" w:eastAsia="仿宋_GB2312"/>
          <w:sz w:val="32"/>
          <w:szCs w:val="32"/>
        </w:rPr>
        <w:t>本年度年初一般公共预算财政拨款卫生健康支出455.45万元，决算支出473.85万元，主要原因为社保缴费增加。</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二、关于2019年度决算情况说明</w:t>
      </w:r>
    </w:p>
    <w:p>
      <w:pPr>
        <w:autoSpaceDE w:val="0"/>
        <w:autoSpaceDN w:val="0"/>
        <w:adjustRightInd w:val="0"/>
        <w:spacing w:before="100" w:beforeAutospacing="1" w:after="100" w:afterAutospacing="1" w:line="580" w:lineRule="exact"/>
        <w:ind w:firstLine="600"/>
        <w:rPr>
          <w:rFonts w:hint="eastAsia" w:ascii="仿宋" w:hAnsi="仿宋" w:eastAsia="仿宋" w:cs="仿宋"/>
          <w:sz w:val="32"/>
          <w:szCs w:val="32"/>
        </w:rPr>
      </w:pPr>
      <w:r>
        <w:rPr>
          <w:rFonts w:hint="eastAsia" w:ascii="仿宋" w:hAnsi="仿宋" w:eastAsia="仿宋" w:cs="仿宋"/>
          <w:sz w:val="32"/>
          <w:szCs w:val="32"/>
        </w:rPr>
        <w:t>（一）关于收支情况总体说明</w:t>
      </w:r>
    </w:p>
    <w:p>
      <w:pPr>
        <w:autoSpaceDE w:val="0"/>
        <w:autoSpaceDN w:val="0"/>
        <w:adjustRightInd w:val="0"/>
        <w:spacing w:before="100" w:beforeAutospacing="1" w:after="100" w:afterAutospacing="1" w:line="580" w:lineRule="exact"/>
        <w:ind w:firstLine="600"/>
        <w:rPr>
          <w:rFonts w:ascii="仿宋_GB2312" w:hAnsi="Times New Roman" w:eastAsia="仿宋_GB2312" w:cs="仿宋_GB2312"/>
          <w:color w:val="000000" w:themeColor="text1"/>
          <w:sz w:val="32"/>
          <w:szCs w:val="32"/>
        </w:rPr>
      </w:pPr>
      <w:r>
        <w:rPr>
          <w:rFonts w:hint="eastAsia" w:ascii="仿宋_GB2312" w:hAnsi="Times New Roman" w:eastAsia="仿宋_GB2312" w:cs="仿宋_GB2312"/>
          <w:color w:val="000000" w:themeColor="text1"/>
          <w:sz w:val="32"/>
          <w:szCs w:val="32"/>
        </w:rPr>
        <w:t>本部门2019年度收入总计20,456.24万元，其中：本年收入合计14,602.93万元，用事业基金弥补收支差额0.00万元，年初结转和结余5,853.31万元；支出总计20,456.24万元，其中：结余分配0.00万元，年末结转和结余4,932.28万元。与2018年度相比，收入总计增加2,770.70万元，增长15.70%；支出总计增加2,770.70万元，增长15.70%。主要原因：公用经费、办案经费增加。</w:t>
      </w:r>
    </w:p>
    <w:p>
      <w:pPr>
        <w:autoSpaceDE w:val="0"/>
        <w:autoSpaceDN w:val="0"/>
        <w:adjustRightInd w:val="0"/>
        <w:spacing w:before="100" w:beforeAutospacing="1" w:after="100" w:afterAutospacing="1" w:line="580" w:lineRule="exact"/>
        <w:ind w:firstLine="600"/>
        <w:rPr>
          <w:rFonts w:ascii="Times New Roman" w:hAnsi="Times New Roman" w:eastAsia="楷体" w:cs="Times New Roman"/>
          <w:color w:val="000000" w:themeColor="text1"/>
          <w:sz w:val="32"/>
          <w:szCs w:val="32"/>
        </w:rPr>
      </w:pPr>
      <w:r>
        <w:rPr>
          <w:rFonts w:hint="eastAsia" w:ascii="楷体" w:hAnsi="Times New Roman" w:eastAsia="楷体" w:cs="楷体"/>
          <w:color w:val="000000" w:themeColor="text1"/>
          <w:sz w:val="32"/>
          <w:szCs w:val="32"/>
        </w:rPr>
        <w:t>（二）关于2019年度收入决算情况说明</w:t>
      </w:r>
    </w:p>
    <w:p>
      <w:pPr>
        <w:autoSpaceDE w:val="0"/>
        <w:autoSpaceDN w:val="0"/>
        <w:adjustRightInd w:val="0"/>
        <w:spacing w:before="100" w:beforeAutospacing="1" w:after="100" w:afterAutospacing="1" w:line="580" w:lineRule="exact"/>
        <w:ind w:firstLine="600"/>
        <w:rPr>
          <w:rFonts w:ascii="仿宋_GB2312" w:hAnsi="Times New Roman" w:eastAsia="仿宋_GB2312" w:cs="仿宋_GB2312"/>
          <w:color w:val="000000" w:themeColor="text1"/>
          <w:sz w:val="32"/>
          <w:szCs w:val="32"/>
        </w:rPr>
      </w:pPr>
      <w:r>
        <w:rPr>
          <w:rFonts w:hint="eastAsia" w:ascii="仿宋_GB2312" w:hAnsi="Times New Roman" w:eastAsia="仿宋_GB2312" w:cs="仿宋_GB2312"/>
          <w:color w:val="000000" w:themeColor="text1"/>
          <w:sz w:val="32"/>
          <w:szCs w:val="32"/>
        </w:rPr>
        <w:t>本部门2019年度收入合计14,602.93万元，其中：财政拨款收入10,253.28万元，占70.20%；其他收入4,349.65万元，占29.80%。</w:t>
      </w:r>
    </w:p>
    <w:p>
      <w:pPr>
        <w:autoSpaceDE w:val="0"/>
        <w:autoSpaceDN w:val="0"/>
        <w:adjustRightInd w:val="0"/>
        <w:spacing w:before="100" w:beforeAutospacing="1" w:after="100" w:afterAutospacing="1" w:line="580" w:lineRule="exact"/>
        <w:ind w:firstLine="600"/>
        <w:rPr>
          <w:rFonts w:ascii="Times New Roman" w:hAnsi="Times New Roman" w:eastAsia="楷体" w:cs="Times New Roman"/>
          <w:color w:val="000000" w:themeColor="text1"/>
          <w:sz w:val="32"/>
          <w:szCs w:val="32"/>
        </w:rPr>
      </w:pPr>
      <w:r>
        <w:rPr>
          <w:rFonts w:hint="eastAsia" w:ascii="楷体" w:hAnsi="Times New Roman" w:eastAsia="楷体" w:cs="楷体"/>
          <w:color w:val="000000" w:themeColor="text1"/>
          <w:sz w:val="32"/>
          <w:szCs w:val="32"/>
        </w:rPr>
        <w:t>（三）关于2019年度支出决算情况说明</w:t>
      </w:r>
    </w:p>
    <w:p>
      <w:pPr>
        <w:autoSpaceDE w:val="0"/>
        <w:autoSpaceDN w:val="0"/>
        <w:adjustRightInd w:val="0"/>
        <w:spacing w:before="100" w:beforeAutospacing="1" w:after="100" w:afterAutospacing="1" w:line="580" w:lineRule="exact"/>
        <w:ind w:firstLine="600"/>
        <w:rPr>
          <w:rFonts w:ascii="仿宋_GB2312" w:hAnsi="Times New Roman" w:eastAsia="仿宋_GB2312" w:cs="仿宋_GB2312"/>
          <w:color w:val="000000" w:themeColor="text1"/>
          <w:sz w:val="32"/>
          <w:szCs w:val="32"/>
        </w:rPr>
      </w:pPr>
      <w:r>
        <w:rPr>
          <w:rFonts w:hint="eastAsia" w:ascii="仿宋_GB2312" w:hAnsi="Times New Roman" w:eastAsia="仿宋_GB2312" w:cs="仿宋_GB2312"/>
          <w:color w:val="000000" w:themeColor="text1"/>
          <w:sz w:val="32"/>
          <w:szCs w:val="32"/>
        </w:rPr>
        <w:t>本部门2019年度支出合计15,523.95万元，其中：基本支出11,016.18万元，占71.00%；项目支出4,507.77万元，占29.00%。</w:t>
      </w:r>
    </w:p>
    <w:p>
      <w:pPr>
        <w:autoSpaceDE w:val="0"/>
        <w:autoSpaceDN w:val="0"/>
        <w:adjustRightInd w:val="0"/>
        <w:spacing w:before="100" w:beforeAutospacing="1" w:after="100" w:afterAutospacing="1" w:line="580" w:lineRule="exact"/>
        <w:ind w:firstLine="600"/>
        <w:rPr>
          <w:rFonts w:ascii="仿宋_GB2312" w:hAnsi="Times New Roman" w:eastAsia="仿宋_GB2312" w:cs="仿宋_GB2312"/>
          <w:color w:val="000000" w:themeColor="text1"/>
          <w:sz w:val="32"/>
          <w:szCs w:val="32"/>
        </w:rPr>
      </w:pPr>
      <w:r>
        <w:rPr>
          <w:rFonts w:hint="eastAsia" w:ascii="楷体" w:hAnsi="Times New Roman" w:eastAsia="楷体" w:cs="楷体"/>
          <w:color w:val="000000" w:themeColor="text1"/>
          <w:sz w:val="32"/>
          <w:szCs w:val="32"/>
        </w:rPr>
        <w:t>（四）关于2019年度财政拨款收入支出决算总体情况说明</w:t>
      </w:r>
    </w:p>
    <w:p>
      <w:pPr>
        <w:autoSpaceDE w:val="0"/>
        <w:autoSpaceDN w:val="0"/>
        <w:adjustRightInd w:val="0"/>
        <w:spacing w:before="100" w:beforeAutospacing="1" w:after="100" w:afterAutospacing="1" w:line="580" w:lineRule="exact"/>
        <w:ind w:firstLine="600"/>
        <w:rPr>
          <w:rFonts w:ascii="仿宋_GB2312" w:hAnsi="Times New Roman" w:eastAsia="仿宋_GB2312" w:cs="仿宋_GB2312"/>
          <w:color w:val="000000" w:themeColor="text1"/>
          <w:sz w:val="32"/>
          <w:szCs w:val="32"/>
        </w:rPr>
      </w:pPr>
      <w:r>
        <w:rPr>
          <w:rFonts w:hint="eastAsia" w:ascii="仿宋_GB2312" w:hAnsi="Times New Roman" w:eastAsia="仿宋_GB2312" w:cs="仿宋_GB2312"/>
          <w:color w:val="000000" w:themeColor="text1"/>
          <w:sz w:val="32"/>
          <w:szCs w:val="32"/>
        </w:rPr>
        <w:t>本部门2019年度财政拨款收入总计12,200.71万元，其中：年初结转和结余1,947.43万元；支出总计12,200.71万元，其中：年末结转和结余1,385.89万元。与2018年度相比，收入增加190.20万元，增长1.60%；支出增加190.20万元，增长1.60%。主要原因：公用经费、办案经费增加。</w:t>
      </w:r>
    </w:p>
    <w:p>
      <w:pPr>
        <w:autoSpaceDE w:val="0"/>
        <w:autoSpaceDN w:val="0"/>
        <w:adjustRightInd w:val="0"/>
        <w:spacing w:before="100" w:beforeAutospacing="1" w:after="100" w:afterAutospacing="1" w:line="580" w:lineRule="exact"/>
        <w:ind w:firstLine="600"/>
        <w:rPr>
          <w:rFonts w:ascii="Times New Roman" w:hAnsi="Times New Roman" w:eastAsia="楷体" w:cs="Times New Roman"/>
          <w:color w:val="000000" w:themeColor="text1"/>
          <w:sz w:val="32"/>
          <w:szCs w:val="32"/>
        </w:rPr>
      </w:pPr>
      <w:r>
        <w:rPr>
          <w:rFonts w:hint="eastAsia" w:ascii="楷体" w:hAnsi="Times New Roman" w:eastAsia="楷体" w:cs="楷体"/>
          <w:color w:val="000000" w:themeColor="text1"/>
          <w:sz w:val="32"/>
          <w:szCs w:val="32"/>
        </w:rPr>
        <w:t>（五）关于2019年度一般公共预算财政拨款支出决算情况说明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color w:val="000000" w:themeColor="text1"/>
          <w:sz w:val="32"/>
          <w:szCs w:val="32"/>
        </w:rPr>
      </w:pPr>
      <w:r>
        <w:rPr>
          <w:rFonts w:hint="eastAsia" w:ascii="仿宋_GB2312" w:hAnsi="Times New Roman" w:eastAsia="仿宋_GB2312" w:cs="仿宋_GB2312"/>
          <w:color w:val="000000" w:themeColor="text1"/>
          <w:sz w:val="32"/>
          <w:szCs w:val="32"/>
        </w:rPr>
        <w:t>本部门2019年度一般公共预算财政拨款支出合计10,814.82万元，其中：基本支出8,192.79万元，占75.80%；项目支出2,622.03万元，占24.20%。</w:t>
      </w:r>
    </w:p>
    <w:p>
      <w:pPr>
        <w:autoSpaceDE w:val="0"/>
        <w:autoSpaceDN w:val="0"/>
        <w:adjustRightInd w:val="0"/>
        <w:spacing w:before="100" w:beforeAutospacing="1" w:after="100" w:afterAutospacing="1" w:line="580" w:lineRule="exact"/>
        <w:ind w:firstLine="600"/>
        <w:rPr>
          <w:rFonts w:ascii="Times New Roman" w:hAnsi="Times New Roman" w:eastAsia="楷体" w:cs="Times New Roman"/>
          <w:color w:val="000000" w:themeColor="text1"/>
          <w:sz w:val="32"/>
          <w:szCs w:val="32"/>
        </w:rPr>
      </w:pPr>
      <w:r>
        <w:rPr>
          <w:rFonts w:hint="eastAsia" w:ascii="楷体" w:hAnsi="Times New Roman" w:eastAsia="楷体" w:cs="楷体"/>
          <w:color w:val="000000" w:themeColor="text1"/>
          <w:sz w:val="32"/>
          <w:szCs w:val="32"/>
        </w:rPr>
        <w:t>（六）关于2019年度一般公共预算财政拨款基本支出决算情况说明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color w:val="000000" w:themeColor="text1"/>
          <w:sz w:val="32"/>
          <w:szCs w:val="32"/>
        </w:rPr>
      </w:pPr>
      <w:r>
        <w:rPr>
          <w:rFonts w:hint="eastAsia" w:ascii="仿宋_GB2312" w:hAnsi="Times New Roman" w:eastAsia="仿宋_GB2312" w:cs="仿宋_GB2312"/>
          <w:color w:val="000000" w:themeColor="text1"/>
          <w:sz w:val="32"/>
          <w:szCs w:val="32"/>
        </w:rPr>
        <w:t>本部门2019年度一般公共预算财政拨款基本支出8,192.79万元，其中：人员经费7,282.54万元，主要包括：基本工资：3490.13万元，津贴补贴：1433.19万元，机关事业单位基本养老保险费：633.88万元，医疗保险缴费：328.29，住房公积金：528.35万元，较上年减少310.01万元，主要原因是：退休人员工资转至社保发放；公用经费910.25万元，主要包括：办公费：120.42万元，取暖费：114.21万元，差旅费：87.64万元，公务用车运行维护费：53.68万元，其他交通费：263.49万元，较上年减少142.92万元，主要原因是：办案差旅费及维修维护费压减财政支出。</w:t>
      </w:r>
    </w:p>
    <w:p>
      <w:pPr>
        <w:autoSpaceDE w:val="0"/>
        <w:autoSpaceDN w:val="0"/>
        <w:adjustRightInd w:val="0"/>
        <w:spacing w:before="100" w:beforeAutospacing="1" w:after="100" w:afterAutospacing="1" w:line="580" w:lineRule="exact"/>
        <w:ind w:firstLine="600"/>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t>（七）关于2019年度财政拨款“三公”经费支出决算情况说明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color w:val="000000" w:themeColor="text1"/>
          <w:sz w:val="32"/>
          <w:szCs w:val="32"/>
        </w:rPr>
      </w:pPr>
      <w:r>
        <w:rPr>
          <w:rFonts w:hint="eastAsia" w:ascii="仿宋_GB2312" w:hAnsi="Times New Roman" w:eastAsia="仿宋_GB2312" w:cs="仿宋_GB2312"/>
          <w:color w:val="000000" w:themeColor="text1"/>
          <w:sz w:val="32"/>
          <w:szCs w:val="32"/>
        </w:rPr>
        <w:t>1、财政拨款</w:t>
      </w:r>
      <w:r>
        <w:rPr>
          <w:rFonts w:ascii="Times New Roman" w:hAnsi="Times New Roman" w:eastAsia="仿宋_GB2312" w:cs="Times New Roman"/>
          <w:color w:val="000000" w:themeColor="text1"/>
          <w:sz w:val="32"/>
          <w:szCs w:val="32"/>
        </w:rPr>
        <w:t>“</w:t>
      </w:r>
      <w:r>
        <w:rPr>
          <w:rFonts w:hint="eastAsia" w:ascii="仿宋_GB2312" w:hAnsi="Times New Roman" w:eastAsia="仿宋_GB2312" w:cs="仿宋_GB2312"/>
          <w:color w:val="000000" w:themeColor="text1"/>
          <w:sz w:val="32"/>
          <w:szCs w:val="32"/>
        </w:rPr>
        <w:t>三公</w:t>
      </w:r>
      <w:r>
        <w:rPr>
          <w:rFonts w:ascii="Times New Roman" w:hAnsi="Times New Roman" w:eastAsia="仿宋_GB2312" w:cs="Times New Roman"/>
          <w:color w:val="000000" w:themeColor="text1"/>
          <w:sz w:val="32"/>
          <w:szCs w:val="32"/>
        </w:rPr>
        <w:t>”</w:t>
      </w:r>
      <w:r>
        <w:rPr>
          <w:rFonts w:hint="eastAsia" w:ascii="仿宋_GB2312" w:hAnsi="Times New Roman" w:eastAsia="仿宋_GB2312" w:cs="仿宋_GB2312"/>
          <w:color w:val="000000" w:themeColor="text1"/>
          <w:sz w:val="32"/>
          <w:szCs w:val="32"/>
        </w:rPr>
        <w:t>经费支出决算总体情况说明</w:t>
      </w:r>
    </w:p>
    <w:p>
      <w:pPr>
        <w:autoSpaceDE w:val="0"/>
        <w:autoSpaceDN w:val="0"/>
        <w:adjustRightInd w:val="0"/>
        <w:spacing w:before="100" w:beforeAutospacing="1" w:after="100" w:afterAutospacing="1" w:line="580" w:lineRule="exact"/>
        <w:ind w:firstLine="600"/>
        <w:rPr>
          <w:rFonts w:ascii="仿宋_GB2312" w:hAnsi="Times New Roman" w:eastAsia="仿宋_GB2312" w:cs="仿宋_GB2312"/>
          <w:color w:val="000000" w:themeColor="text1"/>
          <w:sz w:val="32"/>
          <w:szCs w:val="32"/>
        </w:rPr>
      </w:pPr>
      <w:r>
        <w:rPr>
          <w:rFonts w:hint="eastAsia" w:ascii="仿宋_GB2312" w:hAnsi="Times New Roman" w:eastAsia="仿宋_GB2312" w:cs="仿宋_GB2312"/>
          <w:color w:val="000000" w:themeColor="text1"/>
          <w:sz w:val="32"/>
          <w:szCs w:val="32"/>
        </w:rPr>
        <w:t>本部门2019年度财政拨款</w:t>
      </w:r>
      <w:r>
        <w:rPr>
          <w:rFonts w:ascii="Times New Roman" w:hAnsi="Times New Roman" w:eastAsia="仿宋_GB2312" w:cs="Times New Roman"/>
          <w:color w:val="000000" w:themeColor="text1"/>
          <w:sz w:val="32"/>
          <w:szCs w:val="32"/>
        </w:rPr>
        <w:t>“</w:t>
      </w:r>
      <w:r>
        <w:rPr>
          <w:rFonts w:hint="eastAsia" w:ascii="仿宋_GB2312" w:hAnsi="Times New Roman" w:eastAsia="仿宋_GB2312" w:cs="仿宋_GB2312"/>
          <w:color w:val="000000" w:themeColor="text1"/>
          <w:sz w:val="32"/>
          <w:szCs w:val="32"/>
        </w:rPr>
        <w:t>三公</w:t>
      </w:r>
      <w:r>
        <w:rPr>
          <w:rFonts w:ascii="Times New Roman" w:hAnsi="Times New Roman" w:eastAsia="仿宋_GB2312" w:cs="Times New Roman"/>
          <w:color w:val="000000" w:themeColor="text1"/>
          <w:sz w:val="32"/>
          <w:szCs w:val="32"/>
        </w:rPr>
        <w:t>”</w:t>
      </w:r>
      <w:r>
        <w:rPr>
          <w:rFonts w:hint="eastAsia" w:ascii="仿宋_GB2312" w:hAnsi="Times New Roman" w:eastAsia="仿宋_GB2312" w:cs="仿宋_GB2312"/>
          <w:color w:val="000000" w:themeColor="text1"/>
          <w:sz w:val="32"/>
          <w:szCs w:val="32"/>
        </w:rPr>
        <w:t>经费预算为398.00万元，支出决算为356.54万元，完成预算的89.60%，其中：因公出国（境）费预算为0.00万元，支出决算为0.00万元，完成预算的0.00%；公务用车购置及运行维护费预算为391.00万元，支出决算为355.42万元，完成预算的90.90%；公务接待费预算为7.00万元，支出决算为1.12万元，完成预算的16.00%。2019年度财政拨款</w:t>
      </w:r>
      <w:r>
        <w:rPr>
          <w:rFonts w:ascii="Times New Roman" w:hAnsi="Times New Roman" w:eastAsia="仿宋_GB2312" w:cs="Times New Roman"/>
          <w:color w:val="000000" w:themeColor="text1"/>
          <w:sz w:val="32"/>
          <w:szCs w:val="32"/>
        </w:rPr>
        <w:t>“</w:t>
      </w:r>
      <w:r>
        <w:rPr>
          <w:rFonts w:hint="eastAsia" w:ascii="仿宋_GB2312" w:hAnsi="Times New Roman" w:eastAsia="仿宋_GB2312" w:cs="仿宋_GB2312"/>
          <w:color w:val="000000" w:themeColor="text1"/>
          <w:sz w:val="32"/>
          <w:szCs w:val="32"/>
        </w:rPr>
        <w:t>三公</w:t>
      </w:r>
      <w:r>
        <w:rPr>
          <w:rFonts w:ascii="Times New Roman" w:hAnsi="Times New Roman" w:eastAsia="仿宋_GB2312" w:cs="Times New Roman"/>
          <w:color w:val="000000" w:themeColor="text1"/>
          <w:sz w:val="32"/>
          <w:szCs w:val="32"/>
        </w:rPr>
        <w:t>”</w:t>
      </w:r>
      <w:r>
        <w:rPr>
          <w:rFonts w:hint="eastAsia" w:ascii="仿宋_GB2312" w:hAnsi="Times New Roman" w:eastAsia="仿宋_GB2312" w:cs="仿宋_GB2312"/>
          <w:color w:val="000000" w:themeColor="text1"/>
          <w:sz w:val="32"/>
          <w:szCs w:val="32"/>
        </w:rPr>
        <w:t>经费支出决算与预算差异情况的原因：一是</w:t>
      </w:r>
      <w:r>
        <w:rPr>
          <w:rFonts w:hint="eastAsia" w:ascii="仿宋_GB2312" w:eastAsia="仿宋_GB2312" w:cs="仿宋_GB2312"/>
          <w:color w:val="000000" w:themeColor="text1"/>
          <w:sz w:val="32"/>
          <w:szCs w:val="32"/>
        </w:rPr>
        <w:t>由于我单位因公出国（境）费支出没有预算，完成预算率为0%</w:t>
      </w:r>
      <w:r>
        <w:rPr>
          <w:rFonts w:hint="eastAsia" w:ascii="仿宋_GB2312" w:hAnsi="Times New Roman" w:eastAsia="仿宋_GB2312" w:cs="仿宋_GB2312"/>
          <w:color w:val="000000" w:themeColor="text1"/>
          <w:sz w:val="32"/>
          <w:szCs w:val="32"/>
        </w:rPr>
        <w:t>；二是</w:t>
      </w:r>
      <w:r>
        <w:rPr>
          <w:rFonts w:hint="eastAsia" w:ascii="仿宋_GB2312" w:eastAsia="仿宋_GB2312" w:cs="仿宋_GB2312"/>
          <w:color w:val="000000" w:themeColor="text1"/>
          <w:sz w:val="32"/>
          <w:szCs w:val="32"/>
        </w:rPr>
        <w:t>公务用车方面，按照我单位财务管理办法实施，切实做到严格控制公务用车运行费用方面的支出，保证资金的使用效率</w:t>
      </w:r>
      <w:r>
        <w:rPr>
          <w:rFonts w:hint="eastAsia" w:ascii="仿宋_GB2312" w:hAnsi="Times New Roman" w:eastAsia="仿宋_GB2312" w:cs="仿宋_GB2312"/>
          <w:color w:val="000000" w:themeColor="text1"/>
          <w:sz w:val="32"/>
          <w:szCs w:val="32"/>
        </w:rPr>
        <w:t>；三是</w:t>
      </w:r>
      <w:r>
        <w:rPr>
          <w:rFonts w:hint="eastAsia" w:ascii="仿宋_GB2312" w:eastAsia="仿宋_GB2312" w:cs="仿宋_GB2312"/>
          <w:color w:val="000000" w:themeColor="text1"/>
          <w:sz w:val="32"/>
          <w:szCs w:val="32"/>
        </w:rPr>
        <w:t>规范使用公务接待费用，勤俭节约，做到每一项公务接待支出都有部门领导严格把关，控制经费支出，防止铺张浪费</w:t>
      </w:r>
      <w:r>
        <w:rPr>
          <w:rFonts w:hint="eastAsia" w:ascii="仿宋_GB2312" w:hAnsi="Times New Roman" w:eastAsia="仿宋_GB2312" w:cs="仿宋_GB2312"/>
          <w:color w:val="000000" w:themeColor="text1"/>
          <w:sz w:val="32"/>
          <w:szCs w:val="32"/>
        </w:rPr>
        <w:t>。</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color w:val="000000" w:themeColor="text1"/>
          <w:sz w:val="32"/>
          <w:szCs w:val="32"/>
        </w:rPr>
      </w:pPr>
      <w:r>
        <w:rPr>
          <w:rFonts w:hint="eastAsia" w:ascii="仿宋_GB2312" w:hAnsi="Times New Roman" w:eastAsia="仿宋_GB2312" w:cs="仿宋_GB2312"/>
          <w:color w:val="000000" w:themeColor="text1"/>
          <w:sz w:val="32"/>
          <w:szCs w:val="32"/>
        </w:rPr>
        <w:t>2、财政拨款</w:t>
      </w:r>
      <w:r>
        <w:rPr>
          <w:rFonts w:ascii="Times New Roman" w:hAnsi="Times New Roman" w:eastAsia="仿宋_GB2312" w:cs="Times New Roman"/>
          <w:color w:val="000000" w:themeColor="text1"/>
          <w:sz w:val="32"/>
          <w:szCs w:val="32"/>
        </w:rPr>
        <w:t>“</w:t>
      </w:r>
      <w:r>
        <w:rPr>
          <w:rFonts w:hint="eastAsia" w:ascii="仿宋_GB2312" w:hAnsi="Times New Roman" w:eastAsia="仿宋_GB2312" w:cs="仿宋_GB2312"/>
          <w:color w:val="000000" w:themeColor="text1"/>
          <w:sz w:val="32"/>
          <w:szCs w:val="32"/>
        </w:rPr>
        <w:t>三公</w:t>
      </w:r>
      <w:r>
        <w:rPr>
          <w:rFonts w:ascii="Times New Roman" w:hAnsi="Times New Roman" w:eastAsia="仿宋_GB2312" w:cs="Times New Roman"/>
          <w:color w:val="000000" w:themeColor="text1"/>
          <w:sz w:val="32"/>
          <w:szCs w:val="32"/>
        </w:rPr>
        <w:t>”</w:t>
      </w:r>
      <w:r>
        <w:rPr>
          <w:rFonts w:hint="eastAsia" w:ascii="仿宋_GB2312" w:hAnsi="Times New Roman" w:eastAsia="仿宋_GB2312" w:cs="仿宋_GB2312"/>
          <w:color w:val="000000" w:themeColor="text1"/>
          <w:sz w:val="32"/>
          <w:szCs w:val="32"/>
        </w:rPr>
        <w:t>经费支出决算具体情况说明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color w:val="000000" w:themeColor="text1"/>
          <w:sz w:val="32"/>
          <w:szCs w:val="32"/>
        </w:rPr>
      </w:pPr>
      <w:r>
        <w:rPr>
          <w:rFonts w:hint="eastAsia" w:ascii="仿宋_GB2312" w:hAnsi="Times New Roman" w:eastAsia="仿宋_GB2312" w:cs="仿宋_GB2312"/>
          <w:color w:val="000000" w:themeColor="text1"/>
          <w:sz w:val="32"/>
          <w:szCs w:val="32"/>
        </w:rPr>
        <w:t>本部门2019年度财政拨款</w:t>
      </w:r>
      <w:r>
        <w:rPr>
          <w:rFonts w:ascii="Times New Roman" w:hAnsi="Times New Roman" w:eastAsia="仿宋_GB2312" w:cs="Times New Roman"/>
          <w:color w:val="000000" w:themeColor="text1"/>
          <w:sz w:val="32"/>
          <w:szCs w:val="32"/>
        </w:rPr>
        <w:t>“</w:t>
      </w:r>
      <w:r>
        <w:rPr>
          <w:rFonts w:hint="eastAsia" w:ascii="仿宋_GB2312" w:hAnsi="Times New Roman" w:eastAsia="仿宋_GB2312" w:cs="仿宋_GB2312"/>
          <w:color w:val="000000" w:themeColor="text1"/>
          <w:sz w:val="32"/>
          <w:szCs w:val="32"/>
        </w:rPr>
        <w:t>三公</w:t>
      </w:r>
      <w:r>
        <w:rPr>
          <w:rFonts w:ascii="Times New Roman" w:hAnsi="Times New Roman" w:eastAsia="仿宋_GB2312" w:cs="Times New Roman"/>
          <w:color w:val="000000" w:themeColor="text1"/>
          <w:sz w:val="32"/>
          <w:szCs w:val="32"/>
        </w:rPr>
        <w:t>”</w:t>
      </w:r>
      <w:r>
        <w:rPr>
          <w:rFonts w:hint="eastAsia" w:ascii="仿宋_GB2312" w:hAnsi="Times New Roman" w:eastAsia="仿宋_GB2312" w:cs="仿宋_GB2312"/>
          <w:color w:val="000000" w:themeColor="text1"/>
          <w:sz w:val="32"/>
          <w:szCs w:val="32"/>
        </w:rPr>
        <w:t>经费支出356.54万元，因公出国（境）费支出0.00万元，占0.00%；公务用车购置及运行维护费支出355.42万元，占99.70%；公务接待费支出1.12万元，占0.30%。具体情况如下：</w:t>
      </w:r>
    </w:p>
    <w:p>
      <w:pPr>
        <w:spacing w:line="560" w:lineRule="exact"/>
        <w:ind w:firstLine="630" w:firstLineChars="196"/>
        <w:rPr>
          <w:rFonts w:hint="eastAsia" w:ascii="仿宋_GB2312" w:hAnsi="仿宋_GB2312" w:eastAsia="仿宋_GB2312" w:cs="仿宋_GB2312"/>
          <w:color w:val="000000" w:themeColor="text1"/>
          <w:sz w:val="32"/>
          <w:szCs w:val="32"/>
        </w:rPr>
      </w:pPr>
      <w:r>
        <w:rPr>
          <w:rFonts w:hint="eastAsia" w:ascii="仿宋_GB2312" w:hAnsi="Times New Roman" w:eastAsia="仿宋_GB2312" w:cs="仿宋_GB2312"/>
          <w:b/>
          <w:bCs/>
          <w:color w:val="000000" w:themeColor="text1"/>
          <w:sz w:val="32"/>
          <w:szCs w:val="32"/>
        </w:rPr>
        <w:t>因公出国（境）费支出</w:t>
      </w:r>
      <w:r>
        <w:rPr>
          <w:rFonts w:hint="eastAsia" w:ascii="仿宋_GB2312" w:hAnsi="Times New Roman" w:eastAsia="仿宋_GB2312" w:cs="仿宋_GB2312"/>
          <w:color w:val="000000" w:themeColor="text1"/>
          <w:sz w:val="32"/>
          <w:szCs w:val="32"/>
        </w:rPr>
        <w:t>0.00万元。全年因公出国（境）团组0</w:t>
      </w:r>
      <w:r>
        <w:rPr>
          <w:rStyle w:val="4"/>
          <w:rFonts w:hint="eastAsia" w:ascii="仿宋_GB2312" w:hAnsi="Times New Roman" w:eastAsia="仿宋_GB2312" w:cs="仿宋_GB2312"/>
          <w:color w:val="000000" w:themeColor="text1"/>
          <w:sz w:val="32"/>
          <w:szCs w:val="32"/>
        </w:rPr>
        <w:t>个</w:t>
      </w:r>
      <w:r>
        <w:rPr>
          <w:rFonts w:hint="eastAsia" w:ascii="仿宋_GB2312" w:hAnsi="Times New Roman" w:eastAsia="仿宋_GB2312" w:cs="仿宋_GB2312"/>
          <w:color w:val="000000" w:themeColor="text1"/>
          <w:sz w:val="32"/>
          <w:szCs w:val="32"/>
        </w:rPr>
        <w:t>，累计0人次。</w:t>
      </w:r>
      <w:r>
        <w:rPr>
          <w:rFonts w:hint="eastAsia" w:ascii="仿宋_GB2312" w:hAnsi="仿宋_GB2312" w:eastAsia="仿宋_GB2312" w:cs="仿宋_GB2312"/>
          <w:color w:val="000000" w:themeColor="text1"/>
          <w:sz w:val="32"/>
          <w:szCs w:val="32"/>
        </w:rPr>
        <w:t>与上年持平，主要原因是我单位2无因公出国（境）费。</w:t>
      </w:r>
    </w:p>
    <w:p>
      <w:pPr>
        <w:spacing w:line="560" w:lineRule="exact"/>
        <w:ind w:firstLine="630" w:firstLineChars="196"/>
        <w:rPr>
          <w:rFonts w:ascii="Times New Roman" w:hAnsi="Times New Roman" w:eastAsia="仿宋_GB2312" w:cs="Times New Roman"/>
          <w:color w:val="000000" w:themeColor="text1"/>
          <w:sz w:val="32"/>
          <w:szCs w:val="32"/>
        </w:rPr>
      </w:pPr>
      <w:r>
        <w:rPr>
          <w:rFonts w:hint="eastAsia" w:ascii="仿宋_GB2312" w:hAnsi="Times New Roman" w:eastAsia="仿宋_GB2312" w:cs="仿宋_GB2312"/>
          <w:b/>
          <w:bCs/>
          <w:color w:val="000000" w:themeColor="text1"/>
          <w:sz w:val="32"/>
          <w:szCs w:val="32"/>
        </w:rPr>
        <w:t>公务用车购置及运行维护费支出</w:t>
      </w:r>
      <w:r>
        <w:rPr>
          <w:rFonts w:hint="eastAsia" w:ascii="仿宋_GB2312" w:hAnsi="Times New Roman" w:eastAsia="仿宋_GB2312" w:cs="仿宋_GB2312"/>
          <w:color w:val="000000" w:themeColor="text1"/>
          <w:sz w:val="32"/>
          <w:szCs w:val="32"/>
        </w:rPr>
        <w:t>355.42万元。其中：公务用车购置支出0.00万元，车均购置费0.00万元，较上年持平，主要原因是我单位无公务用车购置费。公务用车运行维护费支出355.42万元，用于单位</w:t>
      </w:r>
      <w:r>
        <w:rPr>
          <w:rFonts w:hint="eastAsia" w:ascii="仿宋_GB2312" w:eastAsia="仿宋_GB2312" w:cs="仿宋_GB2312"/>
          <w:color w:val="000000" w:themeColor="text1"/>
          <w:sz w:val="32"/>
          <w:szCs w:val="32"/>
        </w:rPr>
        <w:t>公务用车的维修维护、运行消耗的燃料费等</w:t>
      </w:r>
      <w:r>
        <w:rPr>
          <w:rFonts w:hint="eastAsia" w:ascii="仿宋_GB2312" w:hAnsi="Times New Roman" w:eastAsia="仿宋_GB2312" w:cs="仿宋_GB2312"/>
          <w:color w:val="000000" w:themeColor="text1"/>
          <w:sz w:val="32"/>
          <w:szCs w:val="32"/>
        </w:rPr>
        <w:t>，</w:t>
      </w:r>
      <w:r>
        <w:rPr>
          <w:rStyle w:val="4"/>
          <w:rFonts w:hint="eastAsia" w:ascii="仿宋_GB2312" w:hAnsi="Times New Roman" w:eastAsia="仿宋_GB2312" w:cs="仿宋_GB2312"/>
          <w:color w:val="000000" w:themeColor="text1"/>
          <w:sz w:val="32"/>
          <w:szCs w:val="32"/>
        </w:rPr>
        <w:t>车均运维</w:t>
      </w:r>
      <w:r>
        <w:rPr>
          <w:rFonts w:hint="eastAsia" w:ascii="仿宋_GB2312" w:hAnsi="Times New Roman" w:eastAsia="仿宋_GB2312" w:cs="仿宋_GB2312"/>
          <w:color w:val="000000" w:themeColor="text1"/>
          <w:sz w:val="32"/>
          <w:szCs w:val="32"/>
        </w:rPr>
        <w:t>费4.94万元，较上年增加102.49万元，主要原因是本年度办理案件数量增多，财政拨款开支的公务用车保有量为72辆。</w:t>
      </w:r>
    </w:p>
    <w:p>
      <w:pPr>
        <w:adjustRightInd w:val="0"/>
        <w:spacing w:before="100" w:beforeAutospacing="1" w:after="100" w:afterAutospacing="1" w:line="580" w:lineRule="exact"/>
        <w:ind w:firstLine="600"/>
        <w:rPr>
          <w:rFonts w:hint="eastAsia" w:ascii="仿宋_GB2312" w:eastAsia="仿宋_GB2312" w:cs="仿宋_GB2312"/>
          <w:color w:val="000000" w:themeColor="text1"/>
          <w:sz w:val="32"/>
          <w:szCs w:val="32"/>
        </w:rPr>
      </w:pPr>
      <w:r>
        <w:rPr>
          <w:rFonts w:hint="eastAsia" w:ascii="仿宋_GB2312" w:hAnsi="Times New Roman" w:eastAsia="仿宋_GB2312" w:cs="仿宋_GB2312"/>
          <w:b/>
          <w:bCs/>
          <w:color w:val="000000" w:themeColor="text1"/>
          <w:sz w:val="32"/>
          <w:szCs w:val="32"/>
        </w:rPr>
        <w:t>公务接待费支出</w:t>
      </w:r>
      <w:r>
        <w:rPr>
          <w:rFonts w:hint="eastAsia" w:ascii="仿宋_GB2312" w:hAnsi="Times New Roman" w:eastAsia="仿宋_GB2312" w:cs="仿宋_GB2312"/>
          <w:color w:val="000000" w:themeColor="text1"/>
          <w:sz w:val="32"/>
          <w:szCs w:val="32"/>
        </w:rPr>
        <w:t>1.12万元。其中：国内公务接待费1.12万元，接待6批次，共接待77人次。主要用于</w:t>
      </w:r>
      <w:r>
        <w:rPr>
          <w:rFonts w:hint="eastAsia" w:ascii="仿宋_GB2312" w:eastAsia="仿宋_GB2312" w:cs="仿宋_GB2312"/>
          <w:color w:val="000000" w:themeColor="text1"/>
          <w:sz w:val="32"/>
          <w:szCs w:val="32"/>
        </w:rPr>
        <w:t>单位按规定开支的各类公务接待费用</w:t>
      </w:r>
      <w:r>
        <w:rPr>
          <w:rFonts w:hint="eastAsia" w:ascii="仿宋_GB2312" w:hAnsi="Times New Roman" w:eastAsia="仿宋_GB2312" w:cs="仿宋_GB2312"/>
          <w:color w:val="000000" w:themeColor="text1"/>
          <w:sz w:val="32"/>
          <w:szCs w:val="32"/>
        </w:rPr>
        <w:t>。</w:t>
      </w:r>
      <w:r>
        <w:rPr>
          <w:rFonts w:hint="default" w:ascii="仿宋_GB2312" w:hAnsi="Times New Roman" w:eastAsia="仿宋_GB2312" w:cs="仿宋_GB2312"/>
          <w:sz w:val="32"/>
          <w:szCs w:val="32"/>
        </w:rPr>
        <w:t>国（境）外接待费</w:t>
      </w:r>
      <w:r>
        <w:rPr>
          <w:rFonts w:hint="default" w:ascii="仿宋_GB2312" w:hAnsi="Times New Roman" w:eastAsia="仿宋_GB2312" w:cs="仿宋_GB2312"/>
          <w:color w:val="000000" w:themeColor="text1"/>
          <w:sz w:val="32"/>
          <w:szCs w:val="32"/>
          <w:lang w:val="en-US"/>
          <w14:textFill>
            <w14:solidFill>
              <w14:schemeClr w14:val="tx1"/>
            </w14:solidFill>
          </w14:textFill>
        </w:rPr>
        <w:t>0.00</w:t>
      </w:r>
      <w:r>
        <w:rPr>
          <w:rFonts w:hint="default" w:ascii="仿宋_GB2312" w:hAnsi="Times New Roman" w:eastAsia="仿宋_GB2312" w:cs="仿宋_GB2312"/>
          <w:color w:val="000000" w:themeColor="text1"/>
          <w:sz w:val="32"/>
          <w:szCs w:val="32"/>
          <w14:textFill>
            <w14:solidFill>
              <w14:schemeClr w14:val="tx1"/>
            </w14:solidFill>
          </w14:textFill>
        </w:rPr>
        <w:t>万元，接待</w:t>
      </w:r>
      <w:r>
        <w:rPr>
          <w:rFonts w:hint="default" w:ascii="仿宋_GB2312" w:hAnsi="Times New Roman" w:eastAsia="仿宋_GB2312" w:cs="仿宋_GB2312"/>
          <w:color w:val="000000" w:themeColor="text1"/>
          <w:sz w:val="32"/>
          <w:szCs w:val="32"/>
          <w:lang w:val="en-US"/>
          <w14:textFill>
            <w14:solidFill>
              <w14:schemeClr w14:val="tx1"/>
            </w14:solidFill>
          </w14:textFill>
        </w:rPr>
        <w:t>0</w:t>
      </w:r>
      <w:r>
        <w:rPr>
          <w:rFonts w:hint="default" w:ascii="仿宋_GB2312" w:hAnsi="Times New Roman" w:eastAsia="仿宋_GB2312" w:cs="仿宋_GB2312"/>
          <w:color w:val="000000" w:themeColor="text1"/>
          <w:sz w:val="32"/>
          <w:szCs w:val="32"/>
          <w14:textFill>
            <w14:solidFill>
              <w14:schemeClr w14:val="tx1"/>
            </w14:solidFill>
          </w14:textFill>
        </w:rPr>
        <w:t>批次，共接待</w:t>
      </w:r>
      <w:r>
        <w:rPr>
          <w:rFonts w:hint="default" w:ascii="仿宋_GB2312" w:hAnsi="Times New Roman" w:eastAsia="仿宋_GB2312" w:cs="仿宋_GB2312"/>
          <w:color w:val="000000" w:themeColor="text1"/>
          <w:sz w:val="32"/>
          <w:szCs w:val="32"/>
          <w:lang w:val="en-US"/>
          <w14:textFill>
            <w14:solidFill>
              <w14:schemeClr w14:val="tx1"/>
            </w14:solidFill>
          </w14:textFill>
        </w:rPr>
        <w:t>0</w:t>
      </w:r>
      <w:r>
        <w:rPr>
          <w:rFonts w:hint="default" w:ascii="仿宋_GB2312" w:hAnsi="Times New Roman" w:eastAsia="仿宋_GB2312" w:cs="仿宋_GB2312"/>
          <w:color w:val="000000" w:themeColor="text1"/>
          <w:sz w:val="32"/>
          <w:szCs w:val="32"/>
          <w14:textFill>
            <w14:solidFill>
              <w14:schemeClr w14:val="tx1"/>
            </w14:solidFill>
          </w14:textFill>
        </w:rPr>
        <w:t>人次</w:t>
      </w:r>
      <w:r>
        <w:rPr>
          <w:rFonts w:hint="eastAsia" w:ascii="仿宋_GB2312" w:hAnsi="Times New Roman" w:eastAsia="仿宋_GB2312" w:cs="仿宋_GB2312"/>
          <w:color w:val="000000" w:themeColor="text1"/>
          <w:sz w:val="32"/>
          <w:szCs w:val="32"/>
          <w:lang w:val="en-US" w:eastAsia="zh-CN"/>
          <w14:textFill>
            <w14:solidFill>
              <w14:schemeClr w14:val="tx1"/>
            </w14:solidFill>
          </w14:textFill>
        </w:rPr>
        <w:t>,主要原因是本单位未发生</w:t>
      </w:r>
      <w:r>
        <w:rPr>
          <w:rFonts w:hint="eastAsia" w:ascii="仿宋_GB2312" w:hAnsi="Times New Roman" w:eastAsia="仿宋_GB2312" w:cs="仿宋_GB2312"/>
          <w:sz w:val="32"/>
          <w:szCs w:val="32"/>
          <w:lang w:val="en-US" w:eastAsia="zh-CN"/>
        </w:rPr>
        <w:t>国外接待业务。</w:t>
      </w:r>
      <w:r>
        <w:rPr>
          <w:rFonts w:hint="eastAsia" w:ascii="仿宋_GB2312" w:hAnsi="Times New Roman" w:eastAsia="仿宋_GB2312" w:cs="仿宋_GB2312"/>
          <w:color w:val="000000" w:themeColor="text1"/>
          <w:sz w:val="32"/>
          <w:szCs w:val="32"/>
        </w:rPr>
        <w:t>较上年减少6.69万元，主要原因是</w:t>
      </w:r>
      <w:r>
        <w:rPr>
          <w:rFonts w:hint="eastAsia" w:ascii="仿宋_GB2312" w:eastAsia="仿宋_GB2312" w:cs="仿宋_GB2312"/>
          <w:color w:val="000000" w:themeColor="text1"/>
          <w:sz w:val="32"/>
          <w:szCs w:val="32"/>
        </w:rPr>
        <w:t>控制经费支出，防止铺张浪费</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color w:val="000000" w:themeColor="text1"/>
          <w:sz w:val="32"/>
          <w:szCs w:val="32"/>
        </w:rPr>
      </w:pPr>
      <w:r>
        <w:rPr>
          <w:rFonts w:hint="eastAsia" w:ascii="仿宋_GB2312" w:hAnsi="Times New Roman" w:eastAsia="仿宋_GB2312" w:cs="仿宋_GB2312"/>
          <w:color w:val="000000" w:themeColor="text1"/>
          <w:sz w:val="32"/>
          <w:szCs w:val="32"/>
        </w:rPr>
        <w:t>三、预算绩效情况说明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color w:val="000000" w:themeColor="text1"/>
          <w:sz w:val="32"/>
          <w:szCs w:val="32"/>
        </w:rPr>
      </w:pPr>
      <w:r>
        <w:rPr>
          <w:rFonts w:hint="eastAsia" w:ascii="仿宋_GB2312" w:hAnsi="Times New Roman" w:eastAsia="仿宋_GB2312" w:cs="仿宋_GB2312"/>
          <w:color w:val="000000" w:themeColor="text1"/>
          <w:sz w:val="32"/>
          <w:szCs w:val="32"/>
        </w:rPr>
        <w:t>（一）预算绩效管理工作开展情况</w:t>
      </w:r>
    </w:p>
    <w:p>
      <w:pPr>
        <w:autoSpaceDE w:val="0"/>
        <w:autoSpaceDN w:val="0"/>
        <w:adjustRightInd w:val="0"/>
        <w:spacing w:before="100" w:beforeAutospacing="1" w:after="100" w:afterAutospacing="1" w:line="580" w:lineRule="exact"/>
        <w:ind w:firstLine="600"/>
        <w:rPr>
          <w:rFonts w:ascii="仿宋_GB2312" w:hAnsi="Times New Roman" w:eastAsia="仿宋_GB2312" w:cs="仿宋_GB2312"/>
          <w:color w:val="000000" w:themeColor="text1"/>
          <w:sz w:val="32"/>
          <w:szCs w:val="32"/>
        </w:rPr>
      </w:pPr>
      <w:r>
        <w:rPr>
          <w:rFonts w:ascii="仿宋" w:hAnsi="仿宋" w:eastAsia="仿宋" w:cs="仿宋"/>
          <w:color w:val="000000" w:themeColor="text1"/>
          <w:sz w:val="32"/>
          <w:szCs w:val="32"/>
        </w:rPr>
        <w:t>根据呼公发〔2018〕110号，关于拨付海拉尔公安分局指挥中心及办案中心建设项目资金的请示，总投资2000万元，按5:3:2支付工程款，2017年支付800万元，2018年支付800万元，2019年应安排400万元</w:t>
      </w:r>
      <w:r>
        <w:rPr>
          <w:rFonts w:hint="eastAsia" w:ascii="仿宋" w:hAnsi="仿宋" w:eastAsia="仿宋" w:cs="仿宋"/>
          <w:color w:val="000000" w:themeColor="text1"/>
          <w:sz w:val="32"/>
          <w:szCs w:val="32"/>
        </w:rPr>
        <w:t>。按照该项目立项依据，严格执行专款专用，建立高质量、高科技的指挥中心及办案中心，保证公安工作的高效性。</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color w:val="000000" w:themeColor="text1"/>
          <w:sz w:val="32"/>
          <w:szCs w:val="32"/>
        </w:rPr>
      </w:pPr>
      <w:r>
        <w:rPr>
          <w:rFonts w:hint="eastAsia" w:ascii="仿宋_GB2312" w:hAnsi="Times New Roman" w:eastAsia="仿宋_GB2312" w:cs="仿宋_GB2312"/>
          <w:color w:val="000000" w:themeColor="text1"/>
          <w:sz w:val="32"/>
          <w:szCs w:val="32"/>
        </w:rPr>
        <w:t>（二）部门决算</w:t>
      </w:r>
      <w:r>
        <w:rPr>
          <w:rStyle w:val="4"/>
          <w:rFonts w:hint="eastAsia" w:ascii="仿宋_GB2312" w:hAnsi="Times New Roman" w:eastAsia="仿宋_GB2312" w:cs="仿宋_GB2312"/>
          <w:color w:val="000000" w:themeColor="text1"/>
          <w:sz w:val="32"/>
          <w:szCs w:val="32"/>
        </w:rPr>
        <w:t>中项目</w:t>
      </w:r>
      <w:r>
        <w:rPr>
          <w:rFonts w:hint="eastAsia" w:ascii="仿宋_GB2312" w:hAnsi="Times New Roman" w:eastAsia="仿宋_GB2312" w:cs="仿宋_GB2312"/>
          <w:color w:val="000000" w:themeColor="text1"/>
          <w:sz w:val="32"/>
          <w:szCs w:val="32"/>
        </w:rPr>
        <w:t>绩效自评结果</w:t>
      </w:r>
    </w:p>
    <w:p>
      <w:pPr>
        <w:autoSpaceDE w:val="0"/>
        <w:autoSpaceDN w:val="0"/>
        <w:adjustRightInd w:val="0"/>
        <w:spacing w:before="100" w:beforeAutospacing="1" w:after="100" w:afterAutospacing="1" w:line="580" w:lineRule="exact"/>
        <w:ind w:firstLine="600"/>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t>2019年，按照部门预算规划，</w:t>
      </w:r>
      <w:r>
        <w:rPr>
          <w:rFonts w:ascii="仿宋" w:hAnsi="仿宋" w:eastAsia="仿宋" w:cs="仿宋"/>
          <w:color w:val="000000" w:themeColor="text1"/>
          <w:sz w:val="32"/>
          <w:szCs w:val="32"/>
        </w:rPr>
        <w:t>海拉尔公安分局指挥中心及办案中心建设项目资金</w:t>
      </w:r>
      <w:r>
        <w:rPr>
          <w:rFonts w:hint="eastAsia" w:ascii="仿宋" w:hAnsi="仿宋" w:eastAsia="仿宋" w:cs="仿宋"/>
          <w:color w:val="000000" w:themeColor="text1"/>
          <w:sz w:val="32"/>
          <w:szCs w:val="32"/>
        </w:rPr>
        <w:t>400万元，及时足额拨付到位，严格执行专款专用，建立高质量、高科技的指挥中心及办案中心，较好完成了国家安全、社会安定、人民群众满意的项目效益。</w:t>
      </w:r>
    </w:p>
    <w:tbl>
      <w:tblPr>
        <w:tblStyle w:val="3"/>
        <w:tblW w:w="94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04"/>
        <w:gridCol w:w="499"/>
        <w:gridCol w:w="1257"/>
        <w:gridCol w:w="1295"/>
        <w:gridCol w:w="1260"/>
        <w:gridCol w:w="572"/>
        <w:gridCol w:w="2141"/>
        <w:gridCol w:w="794"/>
        <w:gridCol w:w="12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05" w:hRule="atLeast"/>
        </w:trPr>
        <w:tc>
          <w:tcPr>
            <w:tcW w:w="9480" w:type="dxa"/>
            <w:gridSpan w:val="9"/>
            <w:shd w:val="clear" w:color="auto" w:fill="auto"/>
            <w:vAlign w:val="center"/>
          </w:tcPr>
          <w:p>
            <w:pPr>
              <w:keepNext w:val="0"/>
              <w:keepLines w:val="0"/>
              <w:widowControl/>
              <w:suppressLineNumbers w:val="0"/>
              <w:jc w:val="center"/>
              <w:textAlignment w:val="center"/>
              <w:rPr>
                <w:rFonts w:ascii="黑体" w:hAnsi="宋体" w:eastAsia="黑体" w:cs="黑体"/>
                <w:b/>
                <w:i w:val="0"/>
                <w:color w:val="000000" w:themeColor="text1"/>
                <w:sz w:val="32"/>
                <w:szCs w:val="32"/>
                <w:u w:val="none"/>
              </w:rPr>
            </w:pPr>
            <w:r>
              <w:rPr>
                <w:rFonts w:hint="eastAsia" w:ascii="黑体" w:hAnsi="宋体" w:eastAsia="黑体" w:cs="黑体"/>
                <w:b/>
                <w:i w:val="0"/>
                <w:color w:val="000000" w:themeColor="text1"/>
                <w:kern w:val="0"/>
                <w:sz w:val="32"/>
                <w:szCs w:val="32"/>
                <w:u w:val="none"/>
                <w:lang w:val="en-US" w:eastAsia="zh-CN" w:bidi="ar"/>
              </w:rPr>
              <w:t>2019年财政资金绩效评价自评信息表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96" w:hRule="atLeast"/>
        </w:trPr>
        <w:tc>
          <w:tcPr>
            <w:tcW w:w="9480" w:type="dxa"/>
            <w:gridSpan w:val="9"/>
            <w:shd w:val="clear" w:color="auto" w:fill="auto"/>
            <w:vAlign w:val="center"/>
          </w:tcPr>
          <w:p>
            <w:pPr>
              <w:jc w:val="center"/>
              <w:rPr>
                <w:rFonts w:hint="eastAsia" w:ascii="宋体" w:hAnsi="宋体" w:eastAsia="宋体" w:cs="宋体"/>
                <w:i w:val="0"/>
                <w:color w:val="000000" w:themeColor="text1"/>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9480" w:type="dxa"/>
            <w:gridSpan w:val="9"/>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编制单位：呼伦贝尔市公安局海拉尔分局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05" w:hRule="atLeast"/>
        </w:trPr>
        <w:tc>
          <w:tcPr>
            <w:tcW w:w="9480" w:type="dxa"/>
            <w:gridSpan w:val="9"/>
            <w:tcBorders>
              <w:bottom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themeColor="text1"/>
                <w:sz w:val="18"/>
                <w:szCs w:val="18"/>
                <w:u w:val="none"/>
              </w:rPr>
            </w:pPr>
            <w:r>
              <w:rPr>
                <w:rFonts w:hint="eastAsia" w:ascii="宋体" w:hAnsi="宋体" w:eastAsia="宋体" w:cs="宋体"/>
                <w:b/>
                <w:i w:val="0"/>
                <w:color w:val="000000" w:themeColor="text1"/>
                <w:kern w:val="0"/>
                <w:sz w:val="18"/>
                <w:szCs w:val="18"/>
                <w:u w:val="none"/>
                <w:lang w:val="en-US" w:eastAsia="zh-CN" w:bidi="ar"/>
              </w:rPr>
              <w:t>一、项目基本情况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6"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项目名称</w:t>
            </w:r>
          </w:p>
        </w:tc>
        <w:tc>
          <w:tcPr>
            <w:tcW w:w="857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海拉尔公安分局指挥中心及办案中心建设项目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6"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项目负责人</w:t>
            </w:r>
          </w:p>
        </w:tc>
        <w:tc>
          <w:tcPr>
            <w:tcW w:w="3812" w:type="dxa"/>
            <w:gridSpan w:val="3"/>
            <w:tcBorders>
              <w:top w:val="single" w:color="000000" w:sz="4" w:space="0"/>
              <w:left w:val="single" w:color="000000" w:sz="4" w:space="0"/>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政法科</w:t>
            </w:r>
          </w:p>
        </w:tc>
        <w:tc>
          <w:tcPr>
            <w:tcW w:w="27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联系电话</w:t>
            </w:r>
          </w:p>
        </w:tc>
        <w:tc>
          <w:tcPr>
            <w:tcW w:w="2052" w:type="dxa"/>
            <w:gridSpan w:val="2"/>
            <w:tcBorders>
              <w:top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8115636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单位财务</w:t>
            </w:r>
          </w:p>
        </w:tc>
        <w:tc>
          <w:tcPr>
            <w:tcW w:w="381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田甜</w:t>
            </w:r>
          </w:p>
        </w:tc>
        <w:tc>
          <w:tcPr>
            <w:tcW w:w="271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财务联系电话</w:t>
            </w:r>
          </w:p>
        </w:tc>
        <w:tc>
          <w:tcPr>
            <w:tcW w:w="205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8115636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项目类别</w:t>
            </w:r>
          </w:p>
        </w:tc>
        <w:tc>
          <w:tcPr>
            <w:tcW w:w="857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商品和服务支出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项目类型</w:t>
            </w:r>
          </w:p>
        </w:tc>
        <w:tc>
          <w:tcPr>
            <w:tcW w:w="381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新增项目</w:t>
            </w:r>
          </w:p>
        </w:tc>
        <w:tc>
          <w:tcPr>
            <w:tcW w:w="27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项目口径</w:t>
            </w:r>
          </w:p>
        </w:tc>
        <w:tc>
          <w:tcPr>
            <w:tcW w:w="205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阶段性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项目依据</w:t>
            </w:r>
          </w:p>
        </w:tc>
        <w:tc>
          <w:tcPr>
            <w:tcW w:w="857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市委有关领导批示的项目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项目属性</w:t>
            </w:r>
          </w:p>
        </w:tc>
        <w:tc>
          <w:tcPr>
            <w:tcW w:w="857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专项资金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60"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项目计划实施时间</w:t>
            </w:r>
          </w:p>
        </w:tc>
        <w:tc>
          <w:tcPr>
            <w:tcW w:w="8577" w:type="dxa"/>
            <w:gridSpan w:val="7"/>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 xml:space="preserve"> 至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30"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项目实际实施时间</w:t>
            </w:r>
          </w:p>
        </w:tc>
        <w:tc>
          <w:tcPr>
            <w:tcW w:w="8577" w:type="dxa"/>
            <w:gridSpan w:val="7"/>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 xml:space="preserve"> 2017-07-01至 2019-07-15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项目自评价时间</w:t>
            </w:r>
          </w:p>
        </w:tc>
        <w:tc>
          <w:tcPr>
            <w:tcW w:w="8577" w:type="dxa"/>
            <w:gridSpan w:val="7"/>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 xml:space="preserve"> 2020-03-01至 2020-03-31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35"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项目申请原因（包括设立依据、可行性及必要性）</w:t>
            </w:r>
          </w:p>
        </w:tc>
        <w:tc>
          <w:tcPr>
            <w:tcW w:w="857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根据呼公发〔2018〕110号，关于拨付海拉尔公安分局指挥中心及办案中心建设项目资金的请示，总投资2000万元，按5:3:2支付工程款，2017年支付800万元，2018年支付800万元，2019年应安排400万元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41"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项目内容</w:t>
            </w:r>
          </w:p>
        </w:tc>
        <w:tc>
          <w:tcPr>
            <w:tcW w:w="857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根据呼公发〔2018〕110号，关于拨付海拉尔公安分局指挥中心及办案中心建设项目资金的请示，总投资2000万元，按5:3:2支付工程款，2017年支付800万元，2018年支付800万元，2019年应安排400万元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41"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项目概况</w:t>
            </w:r>
          </w:p>
        </w:tc>
        <w:tc>
          <w:tcPr>
            <w:tcW w:w="857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根据呼公发〔2018〕110号，关于拨付海拉尔公安分局指挥中心及办案中心建设项目资金的请示，总投资2000万元，按5:3:2支付工程款，2017年支付800万元，2018年支付800万元，2019年应安排400万元。该项目总面积1424平方米，指挥中心实现了情指一体化运作，办案中心也实现了智能化，规范化，一体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41" w:hRule="atLeast"/>
        </w:trPr>
        <w:tc>
          <w:tcPr>
            <w:tcW w:w="4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项目绩效目标</w:t>
            </w:r>
          </w:p>
        </w:tc>
        <w:tc>
          <w:tcPr>
            <w:tcW w:w="49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总目标完成情况</w:t>
            </w:r>
          </w:p>
        </w:tc>
        <w:tc>
          <w:tcPr>
            <w:tcW w:w="857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此项目立项规范，资金落实到位项目执行过程中具有健全的业务管理制度和财务管理制度，能够按照预期要求完成各项项目指标，具有较好的项目收益，项目已经完工，投入使用，进一步加强了公安信息化建设，全面提升公安机关打击违法犯罪、维护社会稳定的能力和水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41" w:hRule="atLeast"/>
        </w:trPr>
        <w:tc>
          <w:tcPr>
            <w:tcW w:w="4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49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阶段性目标完成情况</w:t>
            </w:r>
          </w:p>
        </w:tc>
        <w:tc>
          <w:tcPr>
            <w:tcW w:w="857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财政拨款资金足额到位，全部经费用于指挥中心、办案中心建设，阶段性目标完成圆满。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41" w:hRule="atLeast"/>
        </w:trPr>
        <w:tc>
          <w:tcPr>
            <w:tcW w:w="4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阶段性目标完成情况</w:t>
            </w:r>
          </w:p>
        </w:tc>
        <w:tc>
          <w:tcPr>
            <w:tcW w:w="49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前期准备</w:t>
            </w:r>
          </w:p>
        </w:tc>
        <w:tc>
          <w:tcPr>
            <w:tcW w:w="857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2020年3月，成立了评价工作小组，编制了评价工作方案，对海拉尔公安分局指挥中心，办案中心项目的各项指标进行分析评价，得出评价结果，并编制评价报告。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41" w:hRule="atLeast"/>
        </w:trPr>
        <w:tc>
          <w:tcPr>
            <w:tcW w:w="4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49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组织实施</w:t>
            </w:r>
          </w:p>
        </w:tc>
        <w:tc>
          <w:tcPr>
            <w:tcW w:w="857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从2020年3月1日起，评价工作小组根据制定的指标体系，通过财务汇报，查阅资料，现场核查等方式开展具体工作，收集指挥中心，办案中心项目评价指标相关的具体详细资料。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41" w:hRule="atLeast"/>
        </w:trPr>
        <w:tc>
          <w:tcPr>
            <w:tcW w:w="4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49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分析评价</w:t>
            </w:r>
          </w:p>
        </w:tc>
        <w:tc>
          <w:tcPr>
            <w:tcW w:w="857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 xml:space="preserve">评价工作小组对呼伦贝尔市公安局海拉尔分局指挥中心办案中心项目各项指标进行了客观评价，此项目已经完工，已经投入使用，资金到位率100%。指挥中心，办案中心，提升了基层公安工作和队伍建设，增强了指挥研判能力和快速反应能力，全面提升公安机关打击违法犯罪，维护社会稳定的能力和水平，具有较好的社会效益和可持续影响，保障公安工作持续健康的服务地区经济发展，维护社会稳定。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00" w:hRule="atLeast"/>
        </w:trPr>
        <w:tc>
          <w:tcPr>
            <w:tcW w:w="948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themeColor="text1"/>
                <w:sz w:val="18"/>
                <w:szCs w:val="18"/>
                <w:u w:val="none"/>
              </w:rPr>
            </w:pPr>
            <w:r>
              <w:rPr>
                <w:rFonts w:hint="eastAsia" w:ascii="宋体" w:hAnsi="宋体" w:eastAsia="宋体" w:cs="宋体"/>
                <w:b/>
                <w:i w:val="0"/>
                <w:color w:val="000000" w:themeColor="text1"/>
                <w:kern w:val="0"/>
                <w:sz w:val="18"/>
                <w:szCs w:val="18"/>
                <w:u w:val="none"/>
                <w:lang w:val="en-US" w:eastAsia="zh-CN" w:bidi="ar"/>
              </w:rPr>
              <w:t>二、项目资金情况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35"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申请资金(万元)</w:t>
            </w:r>
          </w:p>
        </w:tc>
        <w:tc>
          <w:tcPr>
            <w:tcW w:w="857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903" w:type="dxa"/>
            <w:gridSpan w:val="2"/>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项目资金来源</w:t>
            </w:r>
          </w:p>
        </w:tc>
        <w:tc>
          <w:tcPr>
            <w:tcW w:w="255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资金来源</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上年结转(万元)</w:t>
            </w:r>
          </w:p>
        </w:tc>
        <w:tc>
          <w:tcPr>
            <w:tcW w:w="27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实际到位</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实际支出</w:t>
            </w:r>
          </w:p>
        </w:tc>
        <w:tc>
          <w:tcPr>
            <w:tcW w:w="12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结转结余金额(万元)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903" w:type="dxa"/>
            <w:gridSpan w:val="2"/>
            <w:vMerge w:val="continue"/>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255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批复金额(万元)</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金额(万元)</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到位率（%）</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金额(万元)</w:t>
            </w:r>
          </w:p>
        </w:tc>
        <w:tc>
          <w:tcPr>
            <w:tcW w:w="12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903" w:type="dxa"/>
            <w:gridSpan w:val="2"/>
            <w:vMerge w:val="continue"/>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2552" w:type="dxa"/>
            <w:gridSpan w:val="2"/>
            <w:tcBorders>
              <w:top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合计</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400.00</w:t>
            </w:r>
          </w:p>
        </w:tc>
        <w:tc>
          <w:tcPr>
            <w:tcW w:w="21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100.00%</w:t>
            </w: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400.00</w:t>
            </w: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903" w:type="dxa"/>
            <w:gridSpan w:val="2"/>
            <w:vMerge w:val="continue"/>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255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22"/>
                <w:szCs w:val="22"/>
                <w:u w:val="none"/>
              </w:rPr>
            </w:pPr>
            <w:r>
              <w:rPr>
                <w:rFonts w:hint="eastAsia" w:ascii="宋体" w:hAnsi="宋体" w:eastAsia="宋体" w:cs="宋体"/>
                <w:i w:val="0"/>
                <w:color w:val="000000" w:themeColor="text1"/>
                <w:kern w:val="0"/>
                <w:sz w:val="22"/>
                <w:szCs w:val="22"/>
                <w:u w:val="none"/>
                <w:lang w:val="en-US" w:eastAsia="zh-CN" w:bidi="ar"/>
              </w:rPr>
              <w:t>公共财政预算管理资金</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400.00</w:t>
            </w:r>
          </w:p>
        </w:tc>
        <w:tc>
          <w:tcPr>
            <w:tcW w:w="21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100.00%</w:t>
            </w: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400.00</w:t>
            </w: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903" w:type="dxa"/>
            <w:gridSpan w:val="2"/>
            <w:vMerge w:val="continue"/>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255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22"/>
                <w:szCs w:val="22"/>
                <w:u w:val="none"/>
              </w:rPr>
            </w:pPr>
            <w:r>
              <w:rPr>
                <w:rFonts w:hint="eastAsia" w:ascii="宋体" w:hAnsi="宋体" w:eastAsia="宋体" w:cs="宋体"/>
                <w:i w:val="0"/>
                <w:color w:val="000000" w:themeColor="text1"/>
                <w:kern w:val="0"/>
                <w:sz w:val="22"/>
                <w:szCs w:val="22"/>
                <w:u w:val="none"/>
                <w:lang w:val="en-US" w:eastAsia="zh-CN" w:bidi="ar"/>
              </w:rPr>
              <w:t>政府性资金预算资金</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21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903" w:type="dxa"/>
            <w:gridSpan w:val="2"/>
            <w:vMerge w:val="continue"/>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255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22"/>
                <w:szCs w:val="22"/>
                <w:u w:val="none"/>
              </w:rPr>
            </w:pPr>
            <w:r>
              <w:rPr>
                <w:rFonts w:hint="eastAsia" w:ascii="宋体" w:hAnsi="宋体" w:eastAsia="宋体" w:cs="宋体"/>
                <w:i w:val="0"/>
                <w:color w:val="000000" w:themeColor="text1"/>
                <w:kern w:val="0"/>
                <w:sz w:val="22"/>
                <w:szCs w:val="22"/>
                <w:u w:val="none"/>
                <w:lang w:val="en-US" w:eastAsia="zh-CN" w:bidi="ar"/>
              </w:rPr>
              <w:t>国有资本经营预算资金</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21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903" w:type="dxa"/>
            <w:gridSpan w:val="2"/>
            <w:vMerge w:val="continue"/>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255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22"/>
                <w:szCs w:val="22"/>
                <w:u w:val="none"/>
              </w:rPr>
            </w:pPr>
            <w:r>
              <w:rPr>
                <w:rFonts w:hint="eastAsia" w:ascii="宋体" w:hAnsi="宋体" w:eastAsia="宋体" w:cs="宋体"/>
                <w:i w:val="0"/>
                <w:color w:val="000000" w:themeColor="text1"/>
                <w:kern w:val="0"/>
                <w:sz w:val="22"/>
                <w:szCs w:val="22"/>
                <w:u w:val="none"/>
                <w:lang w:val="en-US" w:eastAsia="zh-CN" w:bidi="ar"/>
              </w:rPr>
              <w:t>社会保险基本预算资金</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21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903" w:type="dxa"/>
            <w:gridSpan w:val="2"/>
            <w:vMerge w:val="continue"/>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255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22"/>
                <w:szCs w:val="22"/>
                <w:u w:val="none"/>
              </w:rPr>
            </w:pPr>
            <w:r>
              <w:rPr>
                <w:rFonts w:hint="eastAsia" w:ascii="宋体" w:hAnsi="宋体" w:eastAsia="宋体" w:cs="宋体"/>
                <w:i w:val="0"/>
                <w:color w:val="000000" w:themeColor="text1"/>
                <w:kern w:val="0"/>
                <w:sz w:val="22"/>
                <w:szCs w:val="22"/>
                <w:u w:val="none"/>
                <w:lang w:val="en-US" w:eastAsia="zh-CN" w:bidi="ar"/>
              </w:rPr>
              <w:t>其他资金</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21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903" w:type="dxa"/>
            <w:gridSpan w:val="2"/>
            <w:vMerge w:val="continue"/>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255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22"/>
                <w:szCs w:val="22"/>
                <w:u w:val="none"/>
              </w:rPr>
            </w:pPr>
            <w:r>
              <w:rPr>
                <w:rFonts w:hint="eastAsia" w:ascii="宋体" w:hAnsi="宋体" w:eastAsia="宋体" w:cs="宋体"/>
                <w:i w:val="0"/>
                <w:color w:val="000000" w:themeColor="text1"/>
                <w:kern w:val="0"/>
                <w:sz w:val="22"/>
                <w:szCs w:val="22"/>
                <w:u w:val="none"/>
                <w:lang w:val="en-US" w:eastAsia="zh-CN" w:bidi="ar"/>
              </w:rPr>
              <w:t>旗市区拨款(本级)</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21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903" w:type="dxa"/>
            <w:gridSpan w:val="2"/>
            <w:vMerge w:val="continue"/>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255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22"/>
                <w:szCs w:val="22"/>
                <w:u w:val="none"/>
              </w:rPr>
            </w:pPr>
            <w:r>
              <w:rPr>
                <w:rFonts w:hint="eastAsia" w:ascii="宋体" w:hAnsi="宋体" w:eastAsia="宋体" w:cs="宋体"/>
                <w:i w:val="0"/>
                <w:color w:val="000000" w:themeColor="text1"/>
                <w:kern w:val="0"/>
                <w:sz w:val="22"/>
                <w:szCs w:val="22"/>
                <w:u w:val="none"/>
                <w:lang w:val="en-US" w:eastAsia="zh-CN" w:bidi="ar"/>
              </w:rPr>
              <w:t>中央拨款</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21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903" w:type="dxa"/>
            <w:gridSpan w:val="2"/>
            <w:vMerge w:val="continue"/>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255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22"/>
                <w:szCs w:val="22"/>
                <w:u w:val="none"/>
              </w:rPr>
            </w:pPr>
            <w:r>
              <w:rPr>
                <w:rFonts w:hint="eastAsia" w:ascii="宋体" w:hAnsi="宋体" w:eastAsia="宋体" w:cs="宋体"/>
                <w:i w:val="0"/>
                <w:color w:val="000000" w:themeColor="text1"/>
                <w:kern w:val="0"/>
                <w:sz w:val="22"/>
                <w:szCs w:val="22"/>
                <w:u w:val="none"/>
                <w:lang w:val="en-US" w:eastAsia="zh-CN" w:bidi="ar"/>
              </w:rPr>
              <w:t>自治区拨款</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21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903" w:type="dxa"/>
            <w:gridSpan w:val="2"/>
            <w:vMerge w:val="continue"/>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255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22"/>
                <w:szCs w:val="22"/>
                <w:u w:val="none"/>
              </w:rPr>
            </w:pPr>
            <w:r>
              <w:rPr>
                <w:rFonts w:hint="eastAsia" w:ascii="宋体" w:hAnsi="宋体" w:eastAsia="宋体" w:cs="宋体"/>
                <w:i w:val="0"/>
                <w:color w:val="000000" w:themeColor="text1"/>
                <w:kern w:val="0"/>
                <w:sz w:val="22"/>
                <w:szCs w:val="22"/>
                <w:u w:val="none"/>
                <w:lang w:val="en-US" w:eastAsia="zh-CN" w:bidi="ar"/>
              </w:rPr>
              <w:t>预算资金(本级追加)</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21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903"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资金支出情况（万元)</w:t>
            </w:r>
          </w:p>
        </w:tc>
        <w:tc>
          <w:tcPr>
            <w:tcW w:w="3812" w:type="dxa"/>
            <w:gridSpan w:val="3"/>
            <w:tcBorders>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支出明细内容</w:t>
            </w:r>
          </w:p>
        </w:tc>
        <w:tc>
          <w:tcPr>
            <w:tcW w:w="271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计量单位</w:t>
            </w: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数量</w:t>
            </w: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总额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90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i w:val="0"/>
                <w:color w:val="000000" w:themeColor="text1"/>
                <w:sz w:val="18"/>
                <w:szCs w:val="18"/>
                <w:u w:val="none"/>
              </w:rPr>
            </w:pPr>
          </w:p>
        </w:tc>
        <w:tc>
          <w:tcPr>
            <w:tcW w:w="381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合计</w:t>
            </w:r>
          </w:p>
        </w:tc>
        <w:tc>
          <w:tcPr>
            <w:tcW w:w="271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1.00</w:t>
            </w: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400.00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90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i w:val="0"/>
                <w:color w:val="000000" w:themeColor="text1"/>
                <w:sz w:val="18"/>
                <w:szCs w:val="18"/>
                <w:u w:val="none"/>
              </w:rPr>
            </w:pPr>
          </w:p>
        </w:tc>
        <w:tc>
          <w:tcPr>
            <w:tcW w:w="381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工程款</w:t>
            </w:r>
          </w:p>
        </w:tc>
        <w:tc>
          <w:tcPr>
            <w:tcW w:w="271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万元</w:t>
            </w: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1</w:t>
            </w: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400.00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00"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资金管理情况分析</w:t>
            </w:r>
          </w:p>
        </w:tc>
        <w:tc>
          <w:tcPr>
            <w:tcW w:w="857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认真制定业务管理制度，财务管理制度。严格按照规定制度执行，做到制度健全，执行有效，资金使用合规，财务监控有效。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90"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备注</w:t>
            </w:r>
          </w:p>
        </w:tc>
        <w:tc>
          <w:tcPr>
            <w:tcW w:w="857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i w:val="0"/>
                <w:color w:val="000000" w:themeColor="text1"/>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项目资金来源（全口径）</w:t>
            </w:r>
          </w:p>
        </w:tc>
        <w:tc>
          <w:tcPr>
            <w:tcW w:w="125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合计</w:t>
            </w:r>
          </w:p>
        </w:tc>
        <w:tc>
          <w:tcPr>
            <w:tcW w:w="12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400</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中央拨款</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themeColor="text1"/>
                <w:sz w:val="18"/>
                <w:szCs w:val="18"/>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400.00</w:t>
            </w: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9480" w:type="dxa"/>
            <w:gridSpan w:val="9"/>
            <w:tcBorders>
              <w:top w:val="single" w:color="000000" w:sz="4" w:space="0"/>
              <w:bottom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themeColor="text1"/>
                <w:sz w:val="18"/>
                <w:szCs w:val="18"/>
                <w:u w:val="none"/>
              </w:rPr>
            </w:pPr>
            <w:r>
              <w:rPr>
                <w:rFonts w:hint="eastAsia" w:ascii="宋体" w:hAnsi="宋体" w:eastAsia="宋体" w:cs="宋体"/>
                <w:b/>
                <w:i w:val="0"/>
                <w:color w:val="000000" w:themeColor="text1"/>
                <w:kern w:val="0"/>
                <w:sz w:val="18"/>
                <w:szCs w:val="18"/>
                <w:u w:val="none"/>
                <w:lang w:val="en-US" w:eastAsia="zh-CN" w:bidi="ar"/>
              </w:rPr>
              <w:t>三、绩效目标情况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11" w:hRule="atLeast"/>
        </w:trPr>
        <w:tc>
          <w:tcPr>
            <w:tcW w:w="4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一级指标</w:t>
            </w:r>
          </w:p>
        </w:tc>
        <w:tc>
          <w:tcPr>
            <w:tcW w:w="49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二级指标</w:t>
            </w:r>
          </w:p>
        </w:tc>
        <w:tc>
          <w:tcPr>
            <w:tcW w:w="125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得分</w:t>
            </w:r>
          </w:p>
        </w:tc>
        <w:tc>
          <w:tcPr>
            <w:tcW w:w="12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 xml:space="preserve">得分(理由)依据 </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预期目标</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评分标准</w:t>
            </w: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11" w:hRule="atLeast"/>
        </w:trPr>
        <w:tc>
          <w:tcPr>
            <w:tcW w:w="4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产出指标</w:t>
            </w:r>
          </w:p>
        </w:tc>
        <w:tc>
          <w:tcPr>
            <w:tcW w:w="4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质量指标</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7.00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指挥中心已验收，办案中心待验收</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高效完成建设</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项目完成的质量验收情况，用以反映和考核项目产出质量目标的实现程度</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6" w:hRule="atLeast"/>
        </w:trPr>
        <w:tc>
          <w:tcPr>
            <w:tcW w:w="4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4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数量指标</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13.00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实际完成率100%</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资金全部用于两个中心建设</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项目实施的计划产出数，用以反映和考核项目产出数量目标的实现程度</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11" w:hRule="atLeast"/>
        </w:trPr>
        <w:tc>
          <w:tcPr>
            <w:tcW w:w="4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4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时效指标</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12.00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完成及时率100%，全部执行政府采购</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一年</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项目实际提前完成时间与计划完成时间的比率，用以反映和考核项目产出时效目标的实现程度</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11" w:hRule="atLeast"/>
        </w:trPr>
        <w:tc>
          <w:tcPr>
            <w:tcW w:w="4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4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成本指标</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12.00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400万按预算100%下达</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400</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项目完成后的实际成本与预算对比情况</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581" w:hRule="atLeast"/>
        </w:trPr>
        <w:tc>
          <w:tcPr>
            <w:tcW w:w="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满意度指标</w:t>
            </w:r>
          </w:p>
        </w:tc>
        <w:tc>
          <w:tcPr>
            <w:tcW w:w="4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社会公众或服务对象满意度</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10.00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满意度100%</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始终为人民服务</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社会公众或服务对象对项目实施效果的满意程度</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11" w:hRule="atLeast"/>
        </w:trPr>
        <w:tc>
          <w:tcPr>
            <w:tcW w:w="4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效益指标</w:t>
            </w:r>
          </w:p>
        </w:tc>
        <w:tc>
          <w:tcPr>
            <w:tcW w:w="4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经济效益</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10.00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没有带来影响</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无</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项目实施对经济发展所带来的直接或间接影响情况</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11" w:hRule="atLeast"/>
        </w:trPr>
        <w:tc>
          <w:tcPr>
            <w:tcW w:w="4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4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社会效益</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10.00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满意度100%</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社会稳定的基础</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项目实施对社会发展所带来的直接或间接影响情况</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11" w:hRule="atLeast"/>
        </w:trPr>
        <w:tc>
          <w:tcPr>
            <w:tcW w:w="4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4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生态效益</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10.00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对生态环境无任何影响</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无</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项目实施对生态环境所带来的直接或间接影响情况</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11" w:hRule="atLeast"/>
        </w:trPr>
        <w:tc>
          <w:tcPr>
            <w:tcW w:w="4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4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可持续影响</w:t>
            </w:r>
          </w:p>
        </w:tc>
        <w:tc>
          <w:tcPr>
            <w:tcW w:w="12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10.00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指挥办案效率提升，确保社会稳定</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经济社会发展持续稳定</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18"/>
                <w:szCs w:val="18"/>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项目后续运行及成效发挥的可持续影响情况</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themeColor="text1"/>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948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themeColor="text1"/>
                <w:sz w:val="18"/>
                <w:szCs w:val="18"/>
                <w:u w:val="none"/>
              </w:rPr>
            </w:pPr>
            <w:r>
              <w:rPr>
                <w:rFonts w:hint="eastAsia" w:ascii="宋体" w:hAnsi="宋体" w:eastAsia="宋体" w:cs="宋体"/>
                <w:b/>
                <w:i w:val="0"/>
                <w:color w:val="000000" w:themeColor="text1"/>
                <w:kern w:val="0"/>
                <w:sz w:val="18"/>
                <w:szCs w:val="18"/>
                <w:u w:val="none"/>
                <w:lang w:val="en-US" w:eastAsia="zh-CN" w:bidi="ar"/>
              </w:rPr>
              <w:t>四、项目绩效综合评价意见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903"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评价组成员</w:t>
            </w:r>
          </w:p>
        </w:tc>
        <w:tc>
          <w:tcPr>
            <w:tcW w:w="255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姓名</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职称</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签名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90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255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刘海学</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副局长</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themeColor="text1"/>
                <w:sz w:val="18"/>
                <w:szCs w:val="18"/>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themeColor="text1"/>
                <w:sz w:val="18"/>
                <w:szCs w:val="18"/>
                <w:u w:val="none"/>
              </w:rPr>
            </w:pP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90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255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吕群</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主任</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themeColor="text1"/>
                <w:sz w:val="18"/>
                <w:szCs w:val="18"/>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themeColor="text1"/>
                <w:sz w:val="18"/>
                <w:szCs w:val="18"/>
                <w:u w:val="none"/>
              </w:rPr>
            </w:pP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90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255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李洪亮</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副主任</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themeColor="text1"/>
                <w:sz w:val="18"/>
                <w:szCs w:val="18"/>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themeColor="text1"/>
                <w:sz w:val="18"/>
                <w:szCs w:val="18"/>
                <w:u w:val="none"/>
              </w:rPr>
            </w:pP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90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255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蔡丽文</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副主任</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themeColor="text1"/>
                <w:sz w:val="18"/>
                <w:szCs w:val="18"/>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themeColor="text1"/>
                <w:sz w:val="18"/>
                <w:szCs w:val="18"/>
                <w:u w:val="none"/>
              </w:rPr>
            </w:pP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90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255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田甜</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会计</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themeColor="text1"/>
                <w:sz w:val="18"/>
                <w:szCs w:val="18"/>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themeColor="text1"/>
                <w:sz w:val="18"/>
                <w:szCs w:val="18"/>
                <w:u w:val="none"/>
              </w:rPr>
            </w:pP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0" w:hRule="atLeast"/>
        </w:trPr>
        <w:tc>
          <w:tcPr>
            <w:tcW w:w="90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c>
          <w:tcPr>
            <w:tcW w:w="255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宋兆民</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主任</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themeColor="text1"/>
                <w:sz w:val="18"/>
                <w:szCs w:val="18"/>
                <w:u w:val="none"/>
              </w:rPr>
            </w:pPr>
          </w:p>
        </w:tc>
        <w:tc>
          <w:tcPr>
            <w:tcW w:w="2141"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themeColor="text1"/>
                <w:sz w:val="18"/>
                <w:szCs w:val="18"/>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themeColor="text1"/>
                <w:sz w:val="18"/>
                <w:szCs w:val="18"/>
                <w:u w:val="none"/>
              </w:rPr>
            </w:pPr>
          </w:p>
        </w:tc>
        <w:tc>
          <w:tcPr>
            <w:tcW w:w="125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themeColor="text1"/>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15"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综合评价得分</w:t>
            </w:r>
          </w:p>
        </w:tc>
        <w:tc>
          <w:tcPr>
            <w:tcW w:w="857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94.00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05"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综合绩效等级</w:t>
            </w:r>
          </w:p>
        </w:tc>
        <w:tc>
          <w:tcPr>
            <w:tcW w:w="857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综合评价意见</w:t>
            </w:r>
          </w:p>
        </w:tc>
        <w:tc>
          <w:tcPr>
            <w:tcW w:w="857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经过绩效评价小组对海拉尔公安分局指挥中心办案中心进行评价，觉得此项工程大大提升了我局公安工作和队伍建设以及指挥办案的工作效率，增强了指挥研判能力和快速反应能力，整体上公安工作基础和社会治安环境的公众满意度良好，海拉尔公安分局指挥中心及办案中心建设项目综合评价得分80分，绩效评级为“良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81"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综合评价问题</w:t>
            </w:r>
          </w:p>
        </w:tc>
        <w:tc>
          <w:tcPr>
            <w:tcW w:w="8577"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（1）项目已经投入使用，指挥中心已经决算，办案中心因为疫情等原因还未决算。 （2）“指挥中心办案中心”项目是公安工作基础的建设和提升，是社会公共服务项目，项目决策中目标难以量化、量化指标少。大多是描述性的。 （3）“指挥中心办案中心”项目用于公安工作，不为公众所了解，社会公众不能直接对项目进行评价。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9480"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i w:val="0"/>
                <w:color w:val="000000" w:themeColor="text1"/>
                <w:sz w:val="18"/>
                <w:szCs w:val="18"/>
                <w:u w:val="none"/>
              </w:rPr>
            </w:pPr>
            <w:r>
              <w:rPr>
                <w:rFonts w:hint="eastAsia" w:ascii="宋体" w:hAnsi="宋体" w:eastAsia="宋体" w:cs="宋体"/>
                <w:b/>
                <w:i w:val="0"/>
                <w:color w:val="000000" w:themeColor="text1"/>
                <w:kern w:val="0"/>
                <w:sz w:val="18"/>
                <w:szCs w:val="18"/>
                <w:u w:val="none"/>
                <w:lang w:val="en-US" w:eastAsia="zh-CN" w:bidi="ar"/>
              </w:rPr>
              <w:t>审核意见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30" w:hRule="atLeast"/>
        </w:trPr>
        <w:tc>
          <w:tcPr>
            <w:tcW w:w="903"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申报单位签章</w:t>
            </w:r>
          </w:p>
        </w:tc>
        <w:tc>
          <w:tcPr>
            <w:tcW w:w="3812" w:type="dxa"/>
            <w:gridSpan w:val="3"/>
            <w:tcBorders>
              <w:top w:val="single" w:color="000000" w:sz="4" w:space="0"/>
              <w:left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提交评审</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i w:val="0"/>
                <w:color w:val="000000" w:themeColor="text1"/>
                <w:sz w:val="18"/>
                <w:szCs w:val="18"/>
                <w:u w:val="none"/>
              </w:rPr>
            </w:pPr>
          </w:p>
        </w:tc>
        <w:tc>
          <w:tcPr>
            <w:tcW w:w="4193" w:type="dxa"/>
            <w:gridSpan w:val="3"/>
            <w:tcBorders>
              <w:top w:val="single" w:color="000000" w:sz="4" w:space="0"/>
              <w:left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同意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41" w:hRule="atLeast"/>
        </w:trPr>
        <w:tc>
          <w:tcPr>
            <w:tcW w:w="90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i w:val="0"/>
                <w:color w:val="000000" w:themeColor="text1"/>
                <w:sz w:val="18"/>
                <w:szCs w:val="18"/>
                <w:u w:val="none"/>
              </w:rPr>
            </w:pPr>
          </w:p>
        </w:tc>
        <w:tc>
          <w:tcPr>
            <w:tcW w:w="3812" w:type="dxa"/>
            <w:gridSpan w:val="3"/>
            <w:tcBorders>
              <w:left w:val="single" w:color="000000" w:sz="4" w:space="0"/>
              <w:right w:val="single" w:color="000000" w:sz="4" w:space="0"/>
            </w:tcBorders>
            <w:shd w:val="clear" w:color="auto" w:fill="FFFFFF"/>
            <w:vAlign w:val="bottom"/>
          </w:tcPr>
          <w:p>
            <w:pPr>
              <w:keepNext w:val="0"/>
              <w:keepLines w:val="0"/>
              <w:widowControl/>
              <w:suppressLineNumbers w:val="0"/>
              <w:jc w:val="left"/>
              <w:textAlignment w:val="bottom"/>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 xml:space="preserve">申报单位：呼伦贝尔市公安局海拉尔分局  </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i w:val="0"/>
                <w:color w:val="000000" w:themeColor="text1"/>
                <w:sz w:val="18"/>
                <w:szCs w:val="18"/>
                <w:u w:val="none"/>
              </w:rPr>
            </w:pPr>
          </w:p>
        </w:tc>
        <w:tc>
          <w:tcPr>
            <w:tcW w:w="4193" w:type="dxa"/>
            <w:gridSpan w:val="3"/>
            <w:tcBorders>
              <w:left w:val="single" w:color="000000" w:sz="4" w:space="0"/>
              <w:right w:val="single" w:color="000000" w:sz="4" w:space="0"/>
            </w:tcBorders>
            <w:shd w:val="clear" w:color="auto" w:fill="FFFFFF"/>
            <w:vAlign w:val="bottom"/>
          </w:tcPr>
          <w:p>
            <w:pPr>
              <w:keepNext w:val="0"/>
              <w:keepLines w:val="0"/>
              <w:widowControl/>
              <w:suppressLineNumbers w:val="0"/>
              <w:jc w:val="left"/>
              <w:textAlignment w:val="bottom"/>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 xml:space="preserve">审核人：刘斌鹏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0" w:hRule="atLeast"/>
        </w:trPr>
        <w:tc>
          <w:tcPr>
            <w:tcW w:w="90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i w:val="0"/>
                <w:color w:val="000000" w:themeColor="text1"/>
                <w:sz w:val="18"/>
                <w:szCs w:val="18"/>
                <w:u w:val="none"/>
              </w:rPr>
            </w:pPr>
          </w:p>
        </w:tc>
        <w:tc>
          <w:tcPr>
            <w:tcW w:w="3812" w:type="dxa"/>
            <w:gridSpan w:val="3"/>
            <w:tcBorders>
              <w:left w:val="single" w:color="000000" w:sz="4" w:space="0"/>
              <w:bottom w:val="single" w:color="000000" w:sz="4" w:space="0"/>
              <w:right w:val="single" w:color="000000" w:sz="4" w:space="0"/>
            </w:tcBorders>
            <w:shd w:val="clear" w:color="auto" w:fill="FFFFFF"/>
            <w:vAlign w:val="bottom"/>
          </w:tcPr>
          <w:p>
            <w:pPr>
              <w:keepNext w:val="0"/>
              <w:keepLines w:val="0"/>
              <w:widowControl/>
              <w:suppressLineNumbers w:val="0"/>
              <w:jc w:val="left"/>
              <w:textAlignment w:val="bottom"/>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单位签章：                                      2020  年   3月   30日</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i w:val="0"/>
                <w:color w:val="000000" w:themeColor="text1"/>
                <w:sz w:val="18"/>
                <w:szCs w:val="18"/>
                <w:u w:val="none"/>
              </w:rPr>
            </w:pPr>
          </w:p>
        </w:tc>
        <w:tc>
          <w:tcPr>
            <w:tcW w:w="4193" w:type="dxa"/>
            <w:gridSpan w:val="3"/>
            <w:tcBorders>
              <w:left w:val="single" w:color="000000" w:sz="4" w:space="0"/>
              <w:bottom w:val="single" w:color="000000" w:sz="4" w:space="0"/>
              <w:right w:val="single" w:color="000000" w:sz="4" w:space="0"/>
            </w:tcBorders>
            <w:shd w:val="clear" w:color="auto" w:fill="FFFFFF"/>
            <w:vAlign w:val="bottom"/>
          </w:tcPr>
          <w:p>
            <w:pPr>
              <w:keepNext w:val="0"/>
              <w:keepLines w:val="0"/>
              <w:widowControl/>
              <w:suppressLineNumbers w:val="0"/>
              <w:jc w:val="left"/>
              <w:textAlignment w:val="bottom"/>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科室签章：                                     2020  年   3月   30日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20" w:hRule="atLeast"/>
        </w:trPr>
        <w:tc>
          <w:tcPr>
            <w:tcW w:w="903"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主管部门负责人</w:t>
            </w:r>
          </w:p>
        </w:tc>
        <w:tc>
          <w:tcPr>
            <w:tcW w:w="3812" w:type="dxa"/>
            <w:gridSpan w:val="3"/>
            <w:tcBorders>
              <w:top w:val="single" w:color="000000" w:sz="4" w:space="0"/>
              <w:left w:val="single" w:color="000000" w:sz="4" w:space="0"/>
              <w:right w:val="single" w:color="000000" w:sz="4" w:space="0"/>
            </w:tcBorders>
            <w:shd w:val="clear" w:color="auto" w:fill="FFFFFF"/>
            <w:vAlign w:val="center"/>
          </w:tcPr>
          <w:p>
            <w:pPr>
              <w:jc w:val="left"/>
              <w:rPr>
                <w:rFonts w:hint="eastAsia" w:ascii="宋体" w:hAnsi="宋体" w:eastAsia="宋体" w:cs="宋体"/>
                <w:i w:val="0"/>
                <w:color w:val="000000" w:themeColor="text1"/>
                <w:sz w:val="18"/>
                <w:szCs w:val="18"/>
                <w:u w:val="none"/>
              </w:rPr>
            </w:pP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i w:val="0"/>
                <w:color w:val="000000" w:themeColor="text1"/>
                <w:sz w:val="18"/>
                <w:szCs w:val="18"/>
                <w:u w:val="none"/>
              </w:rPr>
            </w:pPr>
          </w:p>
        </w:tc>
        <w:tc>
          <w:tcPr>
            <w:tcW w:w="4193" w:type="dxa"/>
            <w:gridSpan w:val="3"/>
            <w:tcBorders>
              <w:top w:val="single" w:color="000000" w:sz="4" w:space="0"/>
              <w:left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同意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55" w:hRule="atLeast"/>
        </w:trPr>
        <w:tc>
          <w:tcPr>
            <w:tcW w:w="90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i w:val="0"/>
                <w:color w:val="000000" w:themeColor="text1"/>
                <w:sz w:val="18"/>
                <w:szCs w:val="18"/>
                <w:u w:val="none"/>
              </w:rPr>
            </w:pPr>
          </w:p>
        </w:tc>
        <w:tc>
          <w:tcPr>
            <w:tcW w:w="3812" w:type="dxa"/>
            <w:gridSpan w:val="3"/>
            <w:tcBorders>
              <w:left w:val="single" w:color="000000" w:sz="4" w:space="0"/>
              <w:right w:val="single" w:color="000000" w:sz="4" w:space="0"/>
            </w:tcBorders>
            <w:shd w:val="clear" w:color="auto" w:fill="FFFFFF"/>
            <w:vAlign w:val="bottom"/>
          </w:tcPr>
          <w:p>
            <w:pPr>
              <w:keepNext w:val="0"/>
              <w:keepLines w:val="0"/>
              <w:widowControl/>
              <w:suppressLineNumbers w:val="0"/>
              <w:jc w:val="left"/>
              <w:textAlignment w:val="bottom"/>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 xml:space="preserve">审核人：            </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i w:val="0"/>
                <w:color w:val="000000" w:themeColor="text1"/>
                <w:sz w:val="18"/>
                <w:szCs w:val="18"/>
                <w:u w:val="none"/>
              </w:rPr>
            </w:pPr>
          </w:p>
        </w:tc>
        <w:tc>
          <w:tcPr>
            <w:tcW w:w="4193" w:type="dxa"/>
            <w:gridSpan w:val="3"/>
            <w:tcBorders>
              <w:left w:val="single" w:color="000000" w:sz="4" w:space="0"/>
              <w:right w:val="single" w:color="000000" w:sz="4" w:space="0"/>
            </w:tcBorders>
            <w:shd w:val="clear" w:color="auto" w:fill="FFFFFF"/>
            <w:vAlign w:val="bottom"/>
          </w:tcPr>
          <w:p>
            <w:pPr>
              <w:keepNext w:val="0"/>
              <w:keepLines w:val="0"/>
              <w:widowControl/>
              <w:suppressLineNumbers w:val="0"/>
              <w:jc w:val="left"/>
              <w:textAlignment w:val="bottom"/>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 xml:space="preserve">审核人：张秋萸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555" w:hRule="atLeast"/>
        </w:trPr>
        <w:tc>
          <w:tcPr>
            <w:tcW w:w="90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i w:val="0"/>
                <w:color w:val="000000" w:themeColor="text1"/>
                <w:sz w:val="18"/>
                <w:szCs w:val="18"/>
                <w:u w:val="none"/>
              </w:rPr>
            </w:pPr>
          </w:p>
        </w:tc>
        <w:tc>
          <w:tcPr>
            <w:tcW w:w="3812" w:type="dxa"/>
            <w:gridSpan w:val="3"/>
            <w:tcBorders>
              <w:left w:val="single" w:color="000000" w:sz="4" w:space="0"/>
              <w:bottom w:val="single" w:color="000000" w:sz="4" w:space="0"/>
              <w:right w:val="single" w:color="000000" w:sz="4" w:space="0"/>
            </w:tcBorders>
            <w:shd w:val="clear" w:color="auto" w:fill="FFFFFF"/>
            <w:vAlign w:val="bottom"/>
          </w:tcPr>
          <w:p>
            <w:pPr>
              <w:keepNext w:val="0"/>
              <w:keepLines w:val="0"/>
              <w:widowControl/>
              <w:suppressLineNumbers w:val="0"/>
              <w:jc w:val="left"/>
              <w:textAlignment w:val="bottom"/>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单位签章：                                      年   月   日</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left"/>
              <w:rPr>
                <w:rFonts w:hint="eastAsia" w:ascii="宋体" w:hAnsi="宋体" w:eastAsia="宋体" w:cs="宋体"/>
                <w:i w:val="0"/>
                <w:color w:val="000000" w:themeColor="text1"/>
                <w:sz w:val="18"/>
                <w:szCs w:val="18"/>
                <w:u w:val="none"/>
              </w:rPr>
            </w:pPr>
          </w:p>
        </w:tc>
        <w:tc>
          <w:tcPr>
            <w:tcW w:w="4193" w:type="dxa"/>
            <w:gridSpan w:val="3"/>
            <w:tcBorders>
              <w:left w:val="single" w:color="000000" w:sz="4" w:space="0"/>
              <w:bottom w:val="single" w:color="000000" w:sz="4" w:space="0"/>
              <w:right w:val="single" w:color="000000" w:sz="4" w:space="0"/>
            </w:tcBorders>
            <w:shd w:val="clear" w:color="auto" w:fill="FFFFFF"/>
            <w:vAlign w:val="bottom"/>
          </w:tcPr>
          <w:p>
            <w:pPr>
              <w:keepNext w:val="0"/>
              <w:keepLines w:val="0"/>
              <w:widowControl/>
              <w:suppressLineNumbers w:val="0"/>
              <w:jc w:val="left"/>
              <w:textAlignment w:val="bottom"/>
              <w:rPr>
                <w:rFonts w:hint="eastAsia" w:ascii="宋体" w:hAnsi="宋体" w:eastAsia="宋体" w:cs="宋体"/>
                <w:i w:val="0"/>
                <w:color w:val="000000" w:themeColor="text1"/>
                <w:sz w:val="18"/>
                <w:szCs w:val="18"/>
                <w:u w:val="none"/>
              </w:rPr>
            </w:pPr>
            <w:r>
              <w:rPr>
                <w:rFonts w:hint="eastAsia" w:ascii="宋体" w:hAnsi="宋体" w:eastAsia="宋体" w:cs="宋体"/>
                <w:i w:val="0"/>
                <w:color w:val="000000" w:themeColor="text1"/>
                <w:kern w:val="0"/>
                <w:sz w:val="18"/>
                <w:szCs w:val="18"/>
                <w:u w:val="none"/>
                <w:lang w:val="en-US" w:eastAsia="zh-CN" w:bidi="ar"/>
              </w:rPr>
              <w:t>科室签章：                                     2020  年   3月   31日</w:t>
            </w:r>
          </w:p>
        </w:tc>
      </w:tr>
    </w:tbl>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color w:val="000000" w:themeColor="text1"/>
          <w:sz w:val="32"/>
          <w:szCs w:val="32"/>
        </w:rPr>
      </w:pPr>
      <w:r>
        <w:rPr>
          <w:rFonts w:hint="eastAsia" w:ascii="仿宋_GB2312" w:hAnsi="Times New Roman" w:eastAsia="仿宋_GB2312" w:cs="仿宋_GB2312"/>
          <w:color w:val="000000" w:themeColor="text1"/>
          <w:sz w:val="32"/>
          <w:szCs w:val="32"/>
        </w:rPr>
        <w:t>四、其他重要事项的情况说明</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color w:val="000000" w:themeColor="text1"/>
          <w:sz w:val="32"/>
          <w:szCs w:val="32"/>
        </w:rPr>
      </w:pPr>
      <w:r>
        <w:rPr>
          <w:rFonts w:hint="eastAsia" w:ascii="仿宋_GB2312" w:hAnsi="Times New Roman" w:eastAsia="仿宋_GB2312" w:cs="仿宋_GB2312"/>
          <w:color w:val="000000" w:themeColor="text1"/>
          <w:sz w:val="32"/>
          <w:szCs w:val="32"/>
        </w:rPr>
        <w:t>（一）机关运行经费支出情况</w:t>
      </w:r>
    </w:p>
    <w:p>
      <w:pPr>
        <w:adjustRightInd w:val="0"/>
        <w:spacing w:before="100" w:beforeAutospacing="1" w:after="100" w:afterAutospacing="1" w:line="580" w:lineRule="exact"/>
        <w:ind w:firstLine="600"/>
        <w:rPr>
          <w:color w:val="000000" w:themeColor="text1"/>
        </w:rPr>
      </w:pPr>
      <w:r>
        <w:rPr>
          <w:rFonts w:hint="eastAsia" w:ascii="仿宋_GB2312" w:hAnsi="Times New Roman" w:eastAsia="仿宋_GB2312" w:cs="仿宋_GB2312"/>
          <w:color w:val="000000" w:themeColor="text1"/>
          <w:sz w:val="32"/>
          <w:szCs w:val="32"/>
        </w:rPr>
        <w:t>本部门2019年度机关运行经费支出910.25万元，比2018年减少142.92万元，降低13.60%。主要原因是：按照上级要求，压减支出，</w:t>
      </w:r>
      <w:r>
        <w:rPr>
          <w:rFonts w:hint="eastAsia" w:ascii="仿宋_GB2312" w:eastAsia="仿宋_GB2312" w:cs="仿宋_GB2312"/>
          <w:color w:val="000000" w:themeColor="text1"/>
          <w:sz w:val="32"/>
          <w:szCs w:val="32"/>
        </w:rPr>
        <w:t>切实做到严格控制各项经费支出，保证资金的使用效率</w:t>
      </w:r>
      <w:r>
        <w:rPr>
          <w:rFonts w:hint="eastAsia" w:ascii="仿宋_GB2312" w:hAnsi="Times New Roman" w:eastAsia="仿宋_GB2312" w:cs="仿宋_GB2312"/>
          <w:color w:val="000000" w:themeColor="text1"/>
          <w:sz w:val="32"/>
          <w:szCs w:val="32"/>
        </w:rPr>
        <w:t>。</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color w:val="000000" w:themeColor="text1"/>
          <w:sz w:val="32"/>
          <w:szCs w:val="32"/>
        </w:rPr>
      </w:pPr>
      <w:r>
        <w:rPr>
          <w:rFonts w:hint="eastAsia" w:ascii="仿宋_GB2312" w:eastAsia="仿宋_GB2312"/>
          <w:color w:val="000000" w:themeColor="text1"/>
          <w:sz w:val="32"/>
          <w:szCs w:val="32"/>
        </w:rPr>
        <w:t>（二）政府采购支出情况</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color w:val="000000" w:themeColor="text1"/>
          <w:sz w:val="32"/>
          <w:szCs w:val="32"/>
        </w:rPr>
      </w:pPr>
      <w:r>
        <w:rPr>
          <w:rFonts w:hint="eastAsia" w:ascii="仿宋_GB2312" w:hAnsi="Times New Roman" w:eastAsia="仿宋_GB2312" w:cs="仿宋_GB2312"/>
          <w:color w:val="000000" w:themeColor="text1"/>
          <w:sz w:val="32"/>
          <w:szCs w:val="32"/>
        </w:rPr>
        <w:t>本部门2019年度政府采购支出合计653.08万元，其中：政府采购货物支出643.65万元</w:t>
      </w:r>
      <w:r>
        <w:rPr>
          <w:rFonts w:ascii="Times New Roman" w:hAnsi="Times New Roman" w:eastAsia="仿宋_GB2312" w:cs="Times New Roman"/>
          <w:color w:val="000000" w:themeColor="text1"/>
          <w:sz w:val="32"/>
          <w:szCs w:val="32"/>
        </w:rPr>
        <w:t>,</w:t>
      </w:r>
      <w:r>
        <w:rPr>
          <w:rFonts w:hint="eastAsia" w:ascii="仿宋_GB2312" w:hAnsi="Times New Roman" w:eastAsia="仿宋_GB2312" w:cs="仿宋_GB2312"/>
          <w:color w:val="000000" w:themeColor="text1"/>
          <w:sz w:val="32"/>
          <w:szCs w:val="32"/>
        </w:rPr>
        <w:t>比2018年增加201.81万元，增长45.70%，主要原因是：单位设备老化，需要更新；政府采购工程支出9.43万元，比2018年减少5.48万元，降低36.70%，主要原因是：部分工程完工；政府采购服务支出0.00万元，与2018年持平，主要原因是：本单位无政府采购服务支出。授予中小企业合同金额643.65万元，占政府采购支出总额的</w:t>
      </w:r>
      <w:r>
        <w:rPr>
          <w:rFonts w:hint="eastAsia" w:ascii="仿宋_GB2312" w:hAnsi="Times New Roman" w:eastAsia="仿宋_GB2312" w:cs="仿宋_GB2312"/>
          <w:color w:val="000000" w:themeColor="text1"/>
          <w:sz w:val="32"/>
          <w:szCs w:val="32"/>
          <w:lang w:val="en-US" w:eastAsia="zh-CN"/>
        </w:rPr>
        <w:t>98.6</w:t>
      </w:r>
      <w:r>
        <w:rPr>
          <w:rFonts w:hint="eastAsia" w:ascii="仿宋_GB2312" w:hAnsi="Times New Roman" w:eastAsia="仿宋_GB2312" w:cs="仿宋_GB2312"/>
          <w:color w:val="000000" w:themeColor="text1"/>
          <w:sz w:val="32"/>
          <w:szCs w:val="32"/>
        </w:rPr>
        <w:t>%。其中：授予小</w:t>
      </w:r>
      <w:r>
        <w:rPr>
          <w:rStyle w:val="4"/>
          <w:rFonts w:hint="eastAsia" w:ascii="仿宋_GB2312" w:hAnsi="Times New Roman" w:eastAsia="仿宋_GB2312" w:cs="仿宋_GB2312"/>
          <w:color w:val="000000" w:themeColor="text1"/>
          <w:sz w:val="32"/>
          <w:szCs w:val="32"/>
        </w:rPr>
        <w:t>微企业</w:t>
      </w:r>
      <w:r>
        <w:rPr>
          <w:rFonts w:hint="eastAsia" w:ascii="仿宋_GB2312" w:hAnsi="Times New Roman" w:eastAsia="仿宋_GB2312" w:cs="仿宋_GB2312"/>
          <w:color w:val="000000" w:themeColor="text1"/>
          <w:sz w:val="32"/>
          <w:szCs w:val="32"/>
        </w:rPr>
        <w:t>合同金额643.65万元，占政府采购支出总额的</w:t>
      </w:r>
      <w:r>
        <w:rPr>
          <w:rFonts w:hint="eastAsia" w:ascii="仿宋_GB2312" w:hAnsi="Times New Roman" w:eastAsia="仿宋_GB2312" w:cs="仿宋_GB2312"/>
          <w:color w:val="000000" w:themeColor="text1"/>
          <w:sz w:val="32"/>
          <w:szCs w:val="32"/>
          <w:lang w:val="en-US" w:eastAsia="zh-CN"/>
        </w:rPr>
        <w:t>98.6</w:t>
      </w:r>
      <w:r>
        <w:rPr>
          <w:rFonts w:hint="eastAsia" w:ascii="仿宋_GB2312" w:hAnsi="Times New Roman" w:eastAsia="仿宋_GB2312" w:cs="仿宋_GB2312"/>
          <w:color w:val="000000" w:themeColor="text1"/>
          <w:sz w:val="32"/>
          <w:szCs w:val="32"/>
        </w:rPr>
        <w:t>%。</w:t>
      </w:r>
      <w:bookmarkStart w:id="0" w:name="_GoBack"/>
      <w:bookmarkEnd w:id="0"/>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color w:val="000000" w:themeColor="text1"/>
          <w:sz w:val="32"/>
          <w:szCs w:val="32"/>
        </w:rPr>
      </w:pPr>
      <w:r>
        <w:rPr>
          <w:rFonts w:hint="eastAsia" w:ascii="仿宋_GB2312" w:hAnsi="Times New Roman" w:eastAsia="仿宋_GB2312" w:cs="仿宋_GB2312"/>
          <w:color w:val="000000" w:themeColor="text1"/>
          <w:sz w:val="32"/>
          <w:szCs w:val="32"/>
        </w:rPr>
        <w:t>（三）国有资产占用情况</w:t>
      </w:r>
    </w:p>
    <w:p>
      <w:pPr>
        <w:autoSpaceDE w:val="0"/>
        <w:autoSpaceDN w:val="0"/>
        <w:adjustRightInd w:val="0"/>
        <w:spacing w:before="100" w:beforeAutospacing="1" w:after="100" w:afterAutospacing="1" w:line="580" w:lineRule="exact"/>
        <w:ind w:firstLine="600"/>
        <w:rPr>
          <w:rFonts w:ascii="仿宋_GB2312" w:hAnsi="Times New Roman" w:eastAsia="仿宋_GB2312" w:cs="仿宋_GB2312"/>
          <w:color w:val="000000" w:themeColor="text1"/>
          <w:sz w:val="32"/>
          <w:szCs w:val="32"/>
        </w:rPr>
      </w:pPr>
      <w:r>
        <w:rPr>
          <w:rFonts w:hint="eastAsia" w:ascii="仿宋_GB2312" w:hAnsi="Times New Roman" w:eastAsia="仿宋_GB2312" w:cs="仿宋_GB2312"/>
          <w:color w:val="000000" w:themeColor="text1"/>
          <w:sz w:val="32"/>
          <w:szCs w:val="32"/>
        </w:rPr>
        <w:t>截至2019年12月31日，本部门共有车辆72辆，其中，副部（省）级及以上领导用车0辆</w:t>
      </w:r>
      <w:r>
        <w:rPr>
          <w:rFonts w:ascii="Times New Roman" w:hAnsi="Times New Roman" w:eastAsia="仿宋_GB2312" w:cs="Times New Roman"/>
          <w:color w:val="000000" w:themeColor="text1"/>
          <w:sz w:val="32"/>
          <w:szCs w:val="32"/>
        </w:rPr>
        <w:t>,</w:t>
      </w:r>
      <w:r>
        <w:rPr>
          <w:rFonts w:hint="eastAsia" w:ascii="仿宋_GB2312" w:hAnsi="Times New Roman" w:eastAsia="仿宋_GB2312" w:cs="仿宋_GB2312"/>
          <w:color w:val="000000" w:themeColor="text1"/>
          <w:sz w:val="32"/>
          <w:szCs w:val="32"/>
        </w:rPr>
        <w:t>;主要领导干部用车0辆，;机要通信用车1辆，主要用于：机要文件的传送工作;应急保障用车0辆，;执法执勤用车62辆</w:t>
      </w:r>
      <w:r>
        <w:rPr>
          <w:rFonts w:ascii="Times New Roman" w:hAnsi="Times New Roman" w:eastAsia="仿宋_GB2312" w:cs="Times New Roman"/>
          <w:color w:val="000000" w:themeColor="text1"/>
          <w:sz w:val="32"/>
          <w:szCs w:val="32"/>
        </w:rPr>
        <w:t>,</w:t>
      </w:r>
      <w:r>
        <w:rPr>
          <w:rFonts w:hint="eastAsia" w:ascii="仿宋_GB2312" w:hAnsi="Times New Roman" w:eastAsia="仿宋_GB2312" w:cs="仿宋_GB2312"/>
          <w:color w:val="000000" w:themeColor="text1"/>
          <w:sz w:val="32"/>
          <w:szCs w:val="32"/>
        </w:rPr>
        <w:t>主要用于：社会治安的稳控工作；特种专业技术用车7辆</w:t>
      </w:r>
      <w:r>
        <w:rPr>
          <w:rFonts w:ascii="Times New Roman" w:hAnsi="Times New Roman" w:eastAsia="仿宋_GB2312" w:cs="Times New Roman"/>
          <w:color w:val="000000" w:themeColor="text1"/>
          <w:sz w:val="32"/>
          <w:szCs w:val="32"/>
        </w:rPr>
        <w:t>,</w:t>
      </w:r>
      <w:r>
        <w:rPr>
          <w:rFonts w:hint="eastAsia" w:ascii="仿宋_GB2312" w:hAnsi="Times New Roman" w:eastAsia="仿宋_GB2312" w:cs="仿宋_GB2312"/>
          <w:color w:val="000000" w:themeColor="text1"/>
          <w:sz w:val="32"/>
          <w:szCs w:val="32"/>
        </w:rPr>
        <w:t>主要用于：公安业务范围内的特种作业；离退休干部用车2辆</w:t>
      </w:r>
      <w:r>
        <w:rPr>
          <w:rFonts w:ascii="Times New Roman" w:hAnsi="Times New Roman" w:eastAsia="仿宋_GB2312" w:cs="Times New Roman"/>
          <w:color w:val="000000" w:themeColor="text1"/>
          <w:sz w:val="32"/>
          <w:szCs w:val="32"/>
        </w:rPr>
        <w:t>,</w:t>
      </w:r>
      <w:r>
        <w:rPr>
          <w:rFonts w:hint="eastAsia" w:ascii="仿宋_GB2312" w:hAnsi="Times New Roman" w:eastAsia="仿宋_GB2312" w:cs="仿宋_GB2312"/>
          <w:color w:val="000000" w:themeColor="text1"/>
          <w:sz w:val="32"/>
          <w:szCs w:val="32"/>
        </w:rPr>
        <w:t>主要用于：离退休干部用车；其他用车0辆；单位价值50万元以上通用设备2台（套），主要是办案使用，比2018年增加2.00台（套），主要原因是工作需要;单位价值100万元以上专用设备2台（套），主要是网安大队使用的网络侦控设备和移动终端定位系统，与2018年持平，主要原因是单位本年度未购置设备。</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b/>
          <w:bCs/>
          <w:sz w:val="32"/>
          <w:szCs w:val="32"/>
        </w:rPr>
      </w:pPr>
      <w:r>
        <w:rPr>
          <w:rFonts w:hint="eastAsia" w:ascii="仿宋_GB2312" w:hAnsi="Times New Roman" w:eastAsia="仿宋_GB2312" w:cs="仿宋_GB2312"/>
          <w:b/>
          <w:bCs/>
          <w:sz w:val="32"/>
          <w:szCs w:val="32"/>
        </w:rPr>
        <w:t>第三部分 名词解释</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（一）财政拨款收入：指本年度从本级财政部门取得的财政拨款，包括一般公共预算财政拨款和政府性基金预算财政拨款。</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（二）事业收入：指事业单位开展专业业务活动及其辅助活动取得的收入；事业单位收到的财政专户实际核拨的教育收费等资金。</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（三）经营收入：指事业单位在专业业务活动及其辅助活动之外开展非独立核算经营活动取得的收入。</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四）其他收入：指单位取得的除上述收入以外的各项收入，包括未纳入财政预算的投资收益、银行存款利息收入、租金收入、捐赠收入、事业单位固定资产出租收入等。各单位从本级财政部门以外的同级单位取得的经费、从非本级财政部门取得的经费，以及行政单位收到的财政专户管理资金。</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（五）用事业基金弥补收支差额：指事业单位在当年的</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财政拨款收入</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财政拨款结转和结余资金</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事业收入</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事业单位经营收入</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其他收入</w:t>
      </w:r>
      <w:r>
        <w:rPr>
          <w:rFonts w:ascii="仿宋_GB2312" w:hAnsi="Times New Roman" w:eastAsia="仿宋_GB2312" w:cs="仿宋_GB2312"/>
          <w:sz w:val="32"/>
          <w:szCs w:val="32"/>
        </w:rPr>
        <w:t>”</w:t>
      </w:r>
      <w:r>
        <w:rPr>
          <w:rFonts w:hint="eastAsia" w:ascii="仿宋_GB2312" w:hAnsi="Times New Roman" w:eastAsia="仿宋_GB2312" w:cs="仿宋_GB2312"/>
          <w:sz w:val="32"/>
          <w:szCs w:val="32"/>
        </w:rPr>
        <w:t>不足以安排当年支出的情况下，使用以前年度累积的事业基金（当年收支相抵后按国家规定提取、用于弥补以后年度收支差额的基金）弥补本年收支缺口的资金。</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（六）年初结转和结余：</w:t>
      </w:r>
      <w:r>
        <w:rPr>
          <w:rFonts w:hint="eastAsia" w:ascii="仿宋_GB2312" w:hAnsi="Times New Roman" w:eastAsia="仿宋_GB2312" w:cs="仿宋_GB2312"/>
          <w:sz w:val="32"/>
          <w:szCs w:val="32"/>
          <w:highlight w:val="white"/>
        </w:rPr>
        <w:t>指以前年度支出预算因客观条件变化未执行完毕、结转到本年度按有关规定继续使用的资金。</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（七）结余分配</w:t>
      </w:r>
      <w:r>
        <w:rPr>
          <w:rFonts w:hint="eastAsia" w:ascii="仿宋_GB2312" w:hAnsi="Times New Roman" w:eastAsia="仿宋_GB2312" w:cs="仿宋_GB2312"/>
          <w:sz w:val="32"/>
          <w:szCs w:val="32"/>
          <w:highlight w:val="white"/>
        </w:rPr>
        <w:t>：指事业单位按照会计制度规定缴纳的所得税以及从非财政拨款结余中提取的职工福利基金、事业基金等。</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（八）年末结转和结余</w:t>
      </w:r>
      <w:r>
        <w:rPr>
          <w:rFonts w:hint="eastAsia" w:ascii="仿宋_GB2312" w:hAnsi="Times New Roman" w:eastAsia="仿宋_GB2312" w:cs="仿宋_GB2312"/>
          <w:sz w:val="32"/>
          <w:szCs w:val="32"/>
          <w:highlight w:val="white"/>
        </w:rPr>
        <w:t>：指单位本年度或以前年度预算安排、因客观条件发生变化未全部执行或未执行，结转到以后年度继续使用的资金，或项目已完成等产生的结余资金。</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（九）基本支出：指为保障机构正常运转、完成日常工作任务而发生的人员经费和公用经费。其中：人员经费指政府收支分类经济科目中的</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工资福利支出</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和</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对个人和家庭的补助</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；公用经费指政府收支分类经济科目中除</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工资福利支出</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和</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对个人和家庭的补助</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外的其他支出。</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（十）项目支出：指在基本支出之外为完成特定任务和事业发展目标所发生的支出。</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（十一）经营支出：指事业单位在专业业务活动及其辅助活动之外开展非独立核算经营活动发生的支出。</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（十二）</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三公</w:t>
      </w:r>
      <w:r>
        <w:rPr>
          <w:rFonts w:ascii="Times New Roman" w:hAnsi="Times New Roman" w:eastAsia="仿宋_GB2312" w:cs="Times New Roman"/>
          <w:sz w:val="32"/>
          <w:szCs w:val="32"/>
        </w:rPr>
        <w:t>”</w:t>
      </w:r>
      <w:r>
        <w:rPr>
          <w:rFonts w:hint="eastAsia" w:ascii="仿宋_GB2312" w:hAnsi="Times New Roman" w:eastAsia="仿宋_GB2312" w:cs="仿宋_GB2312"/>
          <w:sz w:val="32"/>
          <w:szCs w:val="32"/>
        </w:rPr>
        <w:t>经费：指用财政拨款安排的因公出国（境）费、公务用车购置及运行维护费、公务接待费。其中，因公出国（境）</w:t>
      </w:r>
      <w:r>
        <w:rPr>
          <w:rStyle w:val="4"/>
          <w:rFonts w:hint="eastAsia" w:ascii="仿宋_GB2312" w:hAnsi="Times New Roman" w:eastAsia="仿宋_GB2312" w:cs="仿宋_GB2312"/>
          <w:sz w:val="32"/>
          <w:szCs w:val="32"/>
        </w:rPr>
        <w:t>费反映</w:t>
      </w:r>
      <w:r>
        <w:rPr>
          <w:rFonts w:hint="eastAsia" w:ascii="仿宋_GB2312" w:hAnsi="Times New Roman" w:eastAsia="仿宋_GB2312" w:cs="仿宋_GB2312"/>
          <w:sz w:val="32"/>
          <w:szCs w:val="32"/>
        </w:rPr>
        <w:t>单位公务出国（境）的国际旅费、国外城市间交通费、住宿费、伙食费、培训费、公杂费等支出；公务用车购置</w:t>
      </w:r>
      <w:r>
        <w:rPr>
          <w:rStyle w:val="4"/>
          <w:rFonts w:hint="eastAsia" w:ascii="仿宋_GB2312" w:hAnsi="Times New Roman" w:eastAsia="仿宋_GB2312" w:cs="仿宋_GB2312"/>
          <w:sz w:val="32"/>
          <w:szCs w:val="32"/>
        </w:rPr>
        <w:t>费反映</w:t>
      </w:r>
      <w:r>
        <w:rPr>
          <w:rFonts w:hint="eastAsia" w:ascii="仿宋_GB2312" w:hAnsi="Times New Roman" w:eastAsia="仿宋_GB2312" w:cs="仿宋_GB2312"/>
          <w:sz w:val="32"/>
          <w:szCs w:val="32"/>
        </w:rPr>
        <w:t>单位公务用车购置支出（</w:t>
      </w:r>
      <w:r>
        <w:rPr>
          <w:rStyle w:val="4"/>
          <w:rFonts w:hint="eastAsia" w:ascii="仿宋_GB2312" w:hAnsi="Times New Roman" w:eastAsia="仿宋_GB2312" w:cs="仿宋_GB2312"/>
          <w:sz w:val="32"/>
          <w:szCs w:val="32"/>
        </w:rPr>
        <w:t>含车辆</w:t>
      </w:r>
      <w:r>
        <w:rPr>
          <w:rFonts w:hint="eastAsia" w:ascii="仿宋_GB2312" w:hAnsi="Times New Roman" w:eastAsia="仿宋_GB2312" w:cs="仿宋_GB2312"/>
          <w:sz w:val="32"/>
          <w:szCs w:val="32"/>
        </w:rPr>
        <w:t>购置税）；公务用车运行维护费反映单位按规定保留的公务用车燃料费、维修费、过路过桥费、保险费、安全奖励费用等支出；公务接待</w:t>
      </w:r>
      <w:r>
        <w:rPr>
          <w:rStyle w:val="4"/>
          <w:rFonts w:hint="eastAsia" w:ascii="仿宋_GB2312" w:hAnsi="Times New Roman" w:eastAsia="仿宋_GB2312" w:cs="仿宋_GB2312"/>
          <w:sz w:val="32"/>
          <w:szCs w:val="32"/>
        </w:rPr>
        <w:t>费反映</w:t>
      </w:r>
      <w:r>
        <w:rPr>
          <w:rFonts w:hint="eastAsia" w:ascii="仿宋_GB2312" w:hAnsi="Times New Roman" w:eastAsia="仿宋_GB2312" w:cs="仿宋_GB2312"/>
          <w:sz w:val="32"/>
          <w:szCs w:val="32"/>
        </w:rPr>
        <w:t>单位按规定开支的各类公务接待（含外宾接待）支出。</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十三）机关运行经费：指行政单位和参照公务员法管理的事业单位使用一般公共预算财政拨款安排的基本支出中的日常公用经费支出。未包含行政单位或参照公务员法管理事业单位的部门，参考此口径公开本部门的日常公用经费，并与预算公开保持一致。未包含行政单位或者参照公务员法管理事业单位的部门，参照此口径公开本部门的日常公用经费，并与预算公开保持一致。</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（十四）工资福利支出（支出经济分类科目类级）：反映单位开支的在职职工和编制</w:t>
      </w:r>
      <w:r>
        <w:rPr>
          <w:rStyle w:val="4"/>
          <w:rFonts w:hint="eastAsia" w:ascii="仿宋_GB2312" w:hAnsi="Times New Roman" w:eastAsia="仿宋_GB2312" w:cs="仿宋_GB2312"/>
          <w:sz w:val="32"/>
          <w:szCs w:val="32"/>
        </w:rPr>
        <w:t>外长期</w:t>
      </w:r>
      <w:r>
        <w:rPr>
          <w:rFonts w:hint="eastAsia" w:ascii="仿宋_GB2312" w:hAnsi="Times New Roman" w:eastAsia="仿宋_GB2312" w:cs="仿宋_GB2312"/>
          <w:sz w:val="32"/>
          <w:szCs w:val="32"/>
        </w:rPr>
        <w:t>聘用人员的各类劳动报酬，以及为上述人员缴纳的各项社会保险费等。</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（十五）商品和服务支出（支出经济分类科目类级）：反映单位购买商品和服务的支出（不包括用于购置固定资产的支出、战略性和应急储备支出）。</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（十六）对个人和家庭的补助（支出经济分类科目类级）：反映用于对个人和家庭的补助支出。</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（十七）资本性支出（支出经济分类科目类级）：反映</w:t>
      </w:r>
      <w:r>
        <w:rPr>
          <w:rStyle w:val="4"/>
          <w:rFonts w:hint="eastAsia" w:ascii="仿宋_GB2312" w:hAnsi="Times New Roman" w:eastAsia="仿宋_GB2312" w:cs="仿宋_GB2312"/>
          <w:sz w:val="32"/>
          <w:szCs w:val="32"/>
        </w:rPr>
        <w:t>非各级</w:t>
      </w:r>
      <w:r>
        <w:rPr>
          <w:rFonts w:hint="eastAsia" w:ascii="仿宋_GB2312" w:hAnsi="Times New Roman" w:eastAsia="仿宋_GB2312" w:cs="仿宋_GB2312"/>
          <w:sz w:val="32"/>
          <w:szCs w:val="32"/>
        </w:rPr>
        <w:t>发展与改革部门集中安排的用于购置固定资产、战略性和应急性储备、土地和无形资产，以及构建基础设施、大型修缮和财政支持企业更新改造所发生的支出。</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b/>
          <w:bCs/>
          <w:sz w:val="32"/>
          <w:szCs w:val="32"/>
        </w:rPr>
      </w:pPr>
      <w:r>
        <w:rPr>
          <w:rFonts w:hint="eastAsia" w:ascii="仿宋_GB2312" w:hAnsi="Times New Roman" w:eastAsia="仿宋_GB2312" w:cs="仿宋_GB2312"/>
          <w:b/>
          <w:bCs/>
          <w:sz w:val="32"/>
          <w:szCs w:val="32"/>
        </w:rPr>
        <w:t>第四部分 决算公开联系方式及信息反馈渠道</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32"/>
          <w:szCs w:val="32"/>
        </w:rPr>
      </w:pPr>
      <w:r>
        <w:rPr>
          <w:rFonts w:hint="eastAsia" w:ascii="仿宋_GB2312" w:hAnsi="Times New Roman" w:eastAsia="仿宋_GB2312" w:cs="仿宋_GB2312"/>
          <w:sz w:val="32"/>
          <w:szCs w:val="32"/>
        </w:rPr>
        <w:t>本单位决算公开信息反馈和联系方式：</w:t>
      </w:r>
    </w:p>
    <w:p>
      <w:pPr>
        <w:autoSpaceDE w:val="0"/>
        <w:autoSpaceDN w:val="0"/>
        <w:adjustRightInd w:val="0"/>
        <w:spacing w:before="100" w:beforeAutospacing="1" w:after="100" w:afterAutospacing="1" w:line="580" w:lineRule="exact"/>
        <w:ind w:firstLine="600"/>
        <w:rPr>
          <w:rFonts w:ascii="Times New Roman" w:hAnsi="Times New Roman" w:eastAsia="仿宋_GB2312" w:cs="Times New Roman"/>
          <w:sz w:val="18"/>
          <w:szCs w:val="18"/>
          <w:lang w:val="zh-CN"/>
        </w:rPr>
      </w:pPr>
      <w:r>
        <w:rPr>
          <w:rFonts w:hint="eastAsia" w:ascii="仿宋_GB2312" w:hAnsi="Times New Roman" w:eastAsia="仿宋_GB2312" w:cs="仿宋_GB2312"/>
          <w:sz w:val="32"/>
          <w:szCs w:val="32"/>
        </w:rPr>
        <w:t>联系人：</w:t>
      </w:r>
      <w:r>
        <w:rPr>
          <w:rFonts w:hint="eastAsia" w:ascii="仿宋_GB2312" w:hAnsi="Times New Roman" w:eastAsia="仿宋_GB2312" w:cs="仿宋_GB2312"/>
          <w:color w:val="FF0000"/>
          <w:sz w:val="32"/>
          <w:szCs w:val="32"/>
        </w:rPr>
        <w:t>赵英军 </w:t>
      </w:r>
      <w:r>
        <w:rPr>
          <w:rFonts w:hint="eastAsia" w:ascii="仿宋_GB2312" w:hAnsi="Times New Roman" w:eastAsia="仿宋_GB2312" w:cs="仿宋_GB2312"/>
          <w:sz w:val="32"/>
          <w:szCs w:val="32"/>
        </w:rPr>
        <w:t xml:space="preserve">   联系电话：</w:t>
      </w:r>
      <w:r>
        <w:rPr>
          <w:rFonts w:hint="eastAsia" w:ascii="仿宋_GB2312" w:hAnsi="Times New Roman" w:eastAsia="仿宋_GB2312" w:cs="仿宋_GB2312"/>
          <w:color w:val="FF0000"/>
          <w:sz w:val="32"/>
          <w:szCs w:val="32"/>
        </w:rPr>
        <w:t>0470</w:t>
      </w:r>
      <w:r>
        <w:rPr>
          <w:rFonts w:ascii="Times New Roman" w:hAnsi="Times New Roman" w:eastAsia="仿宋_GB2312" w:cs="Times New Roman"/>
          <w:sz w:val="32"/>
          <w:szCs w:val="32"/>
        </w:rPr>
        <w:t>-</w:t>
      </w:r>
      <w:r>
        <w:rPr>
          <w:rFonts w:hint="eastAsia" w:ascii="仿宋_GB2312" w:hAnsi="Times New Roman" w:eastAsia="仿宋_GB2312" w:cs="仿宋_GB2312"/>
          <w:color w:val="FF0000"/>
          <w:sz w:val="32"/>
          <w:szCs w:val="32"/>
        </w:rPr>
        <w:t>3572444</w:t>
      </w:r>
    </w:p>
    <w:p>
      <w:pPr>
        <w:autoSpaceDE w:val="0"/>
        <w:autoSpaceDN w:val="0"/>
        <w:adjustRightInd w:val="0"/>
        <w:spacing w:before="100" w:beforeAutospacing="1" w:after="100" w:afterAutospacing="1"/>
        <w:rPr>
          <w:rFonts w:ascii="Times New Roman" w:hAnsi="Times New Roman" w:eastAsia="仿宋_GB2312" w:cs="Times New Roman"/>
          <w:b/>
          <w:bCs/>
          <w:sz w:val="36"/>
          <w:szCs w:val="36"/>
        </w:rPr>
      </w:pPr>
    </w:p>
    <w:sectPr>
      <w:pgSz w:w="11907" w:h="16840"/>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roma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2C38A1"/>
    <w:multiLevelType w:val="multilevel"/>
    <w:tmpl w:val="382C38A1"/>
    <w:lvl w:ilvl="0" w:tentative="0">
      <w:start w:val="1"/>
      <w:numFmt w:val="japaneseCounting"/>
      <w:lvlText w:val="%1、"/>
      <w:lvlJc w:val="left"/>
      <w:pPr>
        <w:ind w:left="1320" w:hanging="72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
    <w:nsid w:val="74C74992"/>
    <w:multiLevelType w:val="multilevel"/>
    <w:tmpl w:val="74C74992"/>
    <w:lvl w:ilvl="0" w:tentative="0">
      <w:start w:val="1"/>
      <w:numFmt w:val="decimal"/>
      <w:lvlText w:val="%1、"/>
      <w:lvlJc w:val="left"/>
      <w:pPr>
        <w:tabs>
          <w:tab w:val="left" w:pos="1260"/>
        </w:tabs>
        <w:ind w:left="1260" w:hanging="720"/>
      </w:pPr>
      <w:rPr>
        <w:rFonts w:ascii="仿宋_GB2312" w:hAnsi="仿宋" w:eastAsia="仿宋_GB2312" w:cs="仿宋_GB2312"/>
      </w:rPr>
    </w:lvl>
    <w:lvl w:ilvl="1" w:tentative="0">
      <w:start w:val="1"/>
      <w:numFmt w:val="lowerLetter"/>
      <w:lvlText w:val="%2)"/>
      <w:lvlJc w:val="left"/>
      <w:pPr>
        <w:tabs>
          <w:tab w:val="left" w:pos="1380"/>
        </w:tabs>
        <w:ind w:left="1380" w:hanging="420"/>
      </w:pPr>
    </w:lvl>
    <w:lvl w:ilvl="2" w:tentative="0">
      <w:start w:val="1"/>
      <w:numFmt w:val="lowerRoman"/>
      <w:lvlText w:val="%3."/>
      <w:lvlJc w:val="right"/>
      <w:pPr>
        <w:tabs>
          <w:tab w:val="left" w:pos="1800"/>
        </w:tabs>
        <w:ind w:left="1800" w:hanging="420"/>
      </w:pPr>
    </w:lvl>
    <w:lvl w:ilvl="3" w:tentative="0">
      <w:start w:val="1"/>
      <w:numFmt w:val="decimal"/>
      <w:lvlText w:val="%4."/>
      <w:lvlJc w:val="left"/>
      <w:pPr>
        <w:tabs>
          <w:tab w:val="left" w:pos="2220"/>
        </w:tabs>
        <w:ind w:left="2220" w:hanging="420"/>
      </w:pPr>
    </w:lvl>
    <w:lvl w:ilvl="4" w:tentative="0">
      <w:start w:val="1"/>
      <w:numFmt w:val="lowerLetter"/>
      <w:lvlText w:val="%5)"/>
      <w:lvlJc w:val="left"/>
      <w:pPr>
        <w:tabs>
          <w:tab w:val="left" w:pos="2640"/>
        </w:tabs>
        <w:ind w:left="2640" w:hanging="420"/>
      </w:pPr>
    </w:lvl>
    <w:lvl w:ilvl="5" w:tentative="0">
      <w:start w:val="1"/>
      <w:numFmt w:val="lowerRoman"/>
      <w:lvlText w:val="%6."/>
      <w:lvlJc w:val="right"/>
      <w:pPr>
        <w:tabs>
          <w:tab w:val="left" w:pos="3060"/>
        </w:tabs>
        <w:ind w:left="3060" w:hanging="420"/>
      </w:pPr>
    </w:lvl>
    <w:lvl w:ilvl="6" w:tentative="0">
      <w:start w:val="1"/>
      <w:numFmt w:val="decimal"/>
      <w:lvlText w:val="%7."/>
      <w:lvlJc w:val="left"/>
      <w:pPr>
        <w:tabs>
          <w:tab w:val="left" w:pos="3480"/>
        </w:tabs>
        <w:ind w:left="3480" w:hanging="420"/>
      </w:pPr>
    </w:lvl>
    <w:lvl w:ilvl="7" w:tentative="0">
      <w:start w:val="1"/>
      <w:numFmt w:val="lowerLetter"/>
      <w:lvlText w:val="%8)"/>
      <w:lvlJc w:val="left"/>
      <w:pPr>
        <w:tabs>
          <w:tab w:val="left" w:pos="3900"/>
        </w:tabs>
        <w:ind w:left="3900" w:hanging="420"/>
      </w:pPr>
    </w:lvl>
    <w:lvl w:ilvl="8" w:tentative="0">
      <w:start w:val="1"/>
      <w:numFmt w:val="lowerRoman"/>
      <w:lvlText w:val="%9."/>
      <w:lvlJc w:val="right"/>
      <w:pPr>
        <w:tabs>
          <w:tab w:val="left" w:pos="4320"/>
        </w:tabs>
        <w:ind w:left="432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5F15F7"/>
    <w:rsid w:val="00023843"/>
    <w:rsid w:val="001253C2"/>
    <w:rsid w:val="0012645D"/>
    <w:rsid w:val="00262D6E"/>
    <w:rsid w:val="002F4E9F"/>
    <w:rsid w:val="00301A15"/>
    <w:rsid w:val="004A5BBE"/>
    <w:rsid w:val="004B2DBF"/>
    <w:rsid w:val="004E3CC9"/>
    <w:rsid w:val="00517B33"/>
    <w:rsid w:val="005D0584"/>
    <w:rsid w:val="005F15F7"/>
    <w:rsid w:val="007F6893"/>
    <w:rsid w:val="008F3CBA"/>
    <w:rsid w:val="008F5DAB"/>
    <w:rsid w:val="00971456"/>
    <w:rsid w:val="009976E9"/>
    <w:rsid w:val="00A01DBB"/>
    <w:rsid w:val="00AA12E3"/>
    <w:rsid w:val="00BB4ABF"/>
    <w:rsid w:val="00BD7F6E"/>
    <w:rsid w:val="00C046D9"/>
    <w:rsid w:val="00C1259C"/>
    <w:rsid w:val="00CC43E0"/>
    <w:rsid w:val="00CF05A1"/>
    <w:rsid w:val="00F51E39"/>
    <w:rsid w:val="069720AA"/>
    <w:rsid w:val="08E77FCE"/>
    <w:rsid w:val="1ED2763D"/>
    <w:rsid w:val="588577C9"/>
    <w:rsid w:val="5AC652AC"/>
    <w:rsid w:val="6459229F"/>
    <w:rsid w:val="70D8648E"/>
    <w:rsid w:val="79000D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character" w:default="1" w:styleId="2">
    <w:name w:val="Default Paragraph Font"/>
    <w:semiHidden/>
    <w:unhideWhenUsed/>
    <w:uiPriority w:val="1"/>
  </w:style>
  <w:style w:type="table" w:default="1" w:styleId="3">
    <w:name w:val="Normal Table"/>
    <w:semiHidden/>
    <w:unhideWhenUsed/>
    <w:qFormat/>
    <w:uiPriority w:val="99"/>
    <w:tblPr>
      <w:tblLayout w:type="fixed"/>
      <w:tblCellMar>
        <w:top w:w="0" w:type="dxa"/>
        <w:left w:w="108" w:type="dxa"/>
        <w:bottom w:w="0" w:type="dxa"/>
        <w:right w:w="108" w:type="dxa"/>
      </w:tblCellMar>
    </w:tblPr>
  </w:style>
  <w:style w:type="character" w:customStyle="1" w:styleId="4">
    <w:name w:val="grame"/>
    <w:basedOn w:val="2"/>
    <w:uiPriority w:val="0"/>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5441</Words>
  <Characters>839</Characters>
  <Lines>6</Lines>
  <Paragraphs>12</Paragraphs>
  <TotalTime>5</TotalTime>
  <ScaleCrop>false</ScaleCrop>
  <LinksUpToDate>false</LinksUpToDate>
  <CharactersWithSpaces>6268</CharactersWithSpaces>
  <Application>WPS Office_11.1.0.7989_F1E327BC-269C-435d-A152-05C5408002CA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2020-09-03T01:27:00Z</dcterms:created>
  <dc:creator>Administrator</dc:creator>
  <cp:lastModifiedBy>Administrator</cp:lastModifiedBy>
  <cp:lastPrinted>2020-09-08T01:20:00Z</cp:lastPrinted>
  <dcterms:modified xsi:type="dcterms:W3CDTF">2020-09-09T06:56:44Z</dcterms:modified>
  <dc:title>DWZDM</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2052-11.1.0.7989</vt:lpwstr>
  </property>
</Properties>
</file>