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before="100" w:beforeAutospacing="1" w:after="100" w:afterAutospacing="1"/>
        <w:rPr>
          <w:rFonts w:hint="eastAsia" w:ascii="仿宋_GB2312" w:hAnsi="仿宋_GB2312"/>
          <w:b/>
          <w:bCs/>
          <w:color w:val="000000"/>
          <w:sz w:val="44"/>
          <w:szCs w:val="44"/>
        </w:rPr>
      </w:pPr>
    </w:p>
    <w:p>
      <w:pPr>
        <w:autoSpaceDE w:val="0"/>
        <w:autoSpaceDN w:val="0"/>
        <w:adjustRightInd w:val="0"/>
        <w:spacing w:before="100" w:beforeAutospacing="1" w:after="100" w:afterAutospacing="1"/>
        <w:rPr>
          <w:rFonts w:hint="eastAsia" w:ascii="仿宋_GB2312" w:hAnsi="仿宋_GB2312"/>
          <w:b/>
          <w:bCs/>
          <w:color w:val="000000"/>
          <w:sz w:val="44"/>
          <w:szCs w:val="44"/>
        </w:rPr>
      </w:pPr>
    </w:p>
    <w:p>
      <w:pPr>
        <w:autoSpaceDE w:val="0"/>
        <w:autoSpaceDN w:val="0"/>
        <w:adjustRightInd w:val="0"/>
        <w:spacing w:before="100" w:beforeAutospacing="1" w:after="100" w:afterAutospacing="1"/>
        <w:rPr>
          <w:rFonts w:hint="eastAsia" w:ascii="仿宋_GB2312" w:hAnsi="仿宋_GB2312"/>
          <w:b/>
          <w:bCs/>
          <w:color w:val="000000"/>
          <w:sz w:val="44"/>
          <w:szCs w:val="44"/>
        </w:rPr>
      </w:pPr>
    </w:p>
    <w:p>
      <w:pPr>
        <w:autoSpaceDE w:val="0"/>
        <w:autoSpaceDN w:val="0"/>
        <w:adjustRightInd w:val="0"/>
        <w:spacing w:before="100" w:beforeAutospacing="1" w:after="100" w:afterAutospacing="1"/>
        <w:rPr>
          <w:rFonts w:hint="eastAsia" w:ascii="仿宋_GB2312" w:hAnsi="仿宋_GB2312"/>
          <w:b/>
          <w:bCs/>
          <w:color w:val="000000"/>
          <w:sz w:val="44"/>
          <w:szCs w:val="44"/>
        </w:rPr>
      </w:pPr>
    </w:p>
    <w:p>
      <w:pPr>
        <w:autoSpaceDE w:val="0"/>
        <w:autoSpaceDN w:val="0"/>
        <w:adjustRightInd w:val="0"/>
        <w:spacing w:before="100" w:beforeAutospacing="1" w:after="100" w:afterAutospacing="1"/>
        <w:rPr>
          <w:rFonts w:hint="eastAsia" w:ascii="仿宋_GB2312" w:hAnsi="仿宋_GB2312"/>
          <w:b/>
          <w:bCs/>
          <w:color w:val="000000"/>
          <w:sz w:val="44"/>
          <w:szCs w:val="44"/>
        </w:rPr>
      </w:pPr>
    </w:p>
    <w:p>
      <w:pPr>
        <w:autoSpaceDE w:val="0"/>
        <w:autoSpaceDN w:val="0"/>
        <w:adjustRightInd w:val="0"/>
        <w:spacing w:before="100" w:beforeAutospacing="1" w:after="100" w:afterAutospacing="1"/>
        <w:rPr>
          <w:rFonts w:hint="eastAsia" w:ascii="仿宋_GB2312" w:hAnsi="仿宋_GB2312"/>
          <w:b/>
          <w:bCs/>
          <w:color w:val="000000"/>
          <w:sz w:val="44"/>
          <w:szCs w:val="44"/>
        </w:rPr>
      </w:pPr>
    </w:p>
    <w:p>
      <w:pPr>
        <w:autoSpaceDE w:val="0"/>
        <w:autoSpaceDN w:val="0"/>
        <w:adjustRightInd w:val="0"/>
        <w:spacing w:before="100" w:beforeAutospacing="1" w:after="100" w:afterAutospacing="1"/>
        <w:rPr>
          <w:rFonts w:hint="eastAsia" w:ascii="仿宋_GB2312" w:hAnsi="仿宋_GB2312"/>
          <w:b/>
          <w:bCs/>
          <w:color w:val="000000"/>
          <w:sz w:val="44"/>
          <w:szCs w:val="44"/>
        </w:rPr>
      </w:pPr>
    </w:p>
    <w:p>
      <w:pPr>
        <w:autoSpaceDE w:val="0"/>
        <w:autoSpaceDN w:val="0"/>
        <w:adjustRightInd w:val="0"/>
        <w:spacing w:before="100" w:beforeAutospacing="1" w:after="100" w:afterAutospacing="1"/>
        <w:rPr>
          <w:rFonts w:hint="eastAsia" w:ascii="仿宋_GB2312" w:hAnsi="仿宋_GB2312"/>
          <w:b/>
          <w:bCs/>
          <w:color w:val="000000"/>
          <w:sz w:val="44"/>
          <w:szCs w:val="44"/>
        </w:rPr>
      </w:pPr>
    </w:p>
    <w:p>
      <w:pPr>
        <w:autoSpaceDE w:val="0"/>
        <w:autoSpaceDN w:val="0"/>
        <w:adjustRightInd w:val="0"/>
        <w:spacing w:before="100" w:beforeAutospacing="1" w:after="100" w:afterAutospacing="1"/>
        <w:rPr>
          <w:rFonts w:hint="eastAsia" w:ascii="仿宋_GB2312" w:hAnsi="仿宋_GB2312"/>
          <w:b/>
          <w:bCs/>
          <w:color w:val="000000"/>
          <w:sz w:val="44"/>
          <w:szCs w:val="44"/>
        </w:rPr>
      </w:pPr>
    </w:p>
    <w:p>
      <w:pPr>
        <w:autoSpaceDE w:val="0"/>
        <w:autoSpaceDN w:val="0"/>
        <w:adjustRightInd w:val="0"/>
        <w:spacing w:before="100" w:beforeAutospacing="1" w:after="100" w:afterAutospacing="1"/>
        <w:rPr>
          <w:color w:val="000000"/>
        </w:rPr>
      </w:pPr>
      <w:r>
        <w:rPr>
          <w:rFonts w:ascii="仿宋_GB2312" w:hAnsi="仿宋_GB2312"/>
          <w:b/>
          <w:bCs/>
          <w:color w:val="000000"/>
          <w:sz w:val="44"/>
          <w:szCs w:val="44"/>
        </w:rPr>
        <w:t>内蒙古自治区呼伦贝尔市机关事务管理局</w:t>
      </w:r>
    </w:p>
    <w:p>
      <w:pPr>
        <w:autoSpaceDE w:val="0"/>
        <w:autoSpaceDN w:val="0"/>
        <w:adjustRightInd w:val="0"/>
        <w:spacing w:before="100" w:beforeAutospacing="1" w:after="100" w:afterAutospacing="1"/>
        <w:ind w:firstLine="601"/>
        <w:jc w:val="center"/>
        <w:rPr>
          <w:rFonts w:hint="eastAsia" w:ascii="Times New Roman" w:hAnsi="Times New Roman" w:eastAsia="仿宋_GB2312" w:cs="Times New Roman"/>
          <w:b/>
          <w:bCs/>
          <w:sz w:val="44"/>
          <w:szCs w:val="44"/>
        </w:rPr>
      </w:pPr>
      <w:r>
        <w:rPr>
          <w:rFonts w:ascii="仿宋_GB2312" w:hAnsi="Times New Roman"/>
          <w:b/>
          <w:bCs/>
          <w:sz w:val="44"/>
          <w:szCs w:val="44"/>
        </w:rPr>
        <w:t>2019年度决算公开报告</w:t>
      </w: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r>
        <w:rPr>
          <w:rFonts w:ascii="Times New Roman" w:hAnsi="Times New Roman" w:eastAsia="仿宋_GB2312" w:cs="Times New Roman"/>
          <w:b/>
          <w:bCs/>
          <w:sz w:val="36"/>
          <w:szCs w:val="36"/>
        </w:rPr>
        <w:t xml:space="preserve"> </w:t>
      </w: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r>
        <w:rPr>
          <w:rFonts w:ascii="Times New Roman" w:hAnsi="Times New Roman" w:eastAsia="仿宋_GB2312" w:cs="Times New Roman"/>
          <w:b/>
          <w:bCs/>
          <w:sz w:val="36"/>
          <w:szCs w:val="36"/>
        </w:rPr>
        <w:t xml:space="preserve"> </w:t>
      </w: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r>
        <w:rPr>
          <w:rFonts w:ascii="Times New Roman" w:hAnsi="Times New Roman" w:eastAsia="仿宋_GB2312" w:cs="Times New Roman"/>
          <w:b/>
          <w:bCs/>
          <w:sz w:val="36"/>
          <w:szCs w:val="36"/>
        </w:rPr>
        <w:t xml:space="preserve"> </w:t>
      </w: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r>
        <w:rPr>
          <w:rFonts w:ascii="Times New Roman" w:hAnsi="Times New Roman" w:eastAsia="仿宋_GB2312" w:cs="Times New Roman"/>
          <w:b/>
          <w:bCs/>
          <w:sz w:val="36"/>
          <w:szCs w:val="36"/>
        </w:rPr>
        <w:t xml:space="preserve"> </w:t>
      </w: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r>
        <w:rPr>
          <w:rFonts w:ascii="Times New Roman" w:hAnsi="Times New Roman" w:eastAsia="仿宋_GB2312" w:cs="Times New Roman"/>
          <w:b/>
          <w:bCs/>
          <w:sz w:val="36"/>
          <w:szCs w:val="36"/>
        </w:rPr>
        <w:t xml:space="preserve"> </w:t>
      </w:r>
    </w:p>
    <w:p>
      <w:pPr>
        <w:autoSpaceDE w:val="0"/>
        <w:autoSpaceDN w:val="0"/>
        <w:adjustRightInd w:val="0"/>
        <w:spacing w:before="100" w:beforeAutospacing="1" w:after="100" w:afterAutospacing="1"/>
        <w:ind w:firstLine="601"/>
        <w:jc w:val="center"/>
        <w:rPr>
          <w:rFonts w:ascii="Times New Roman" w:hAnsi="Times New Roman" w:eastAsia="仿宋_GB2312" w:cs="Times New Roman"/>
          <w:b/>
          <w:bCs/>
          <w:sz w:val="44"/>
          <w:szCs w:val="44"/>
        </w:rPr>
      </w:pPr>
      <w:r>
        <w:rPr>
          <w:rFonts w:ascii="仿宋_GB2312" w:hAnsi="仿宋_GB2312"/>
          <w:b/>
          <w:bCs/>
          <w:sz w:val="44"/>
          <w:szCs w:val="44"/>
        </w:rPr>
        <w:t>目录</w:t>
      </w:r>
    </w:p>
    <w:p>
      <w:pPr>
        <w:autoSpaceDE w:val="0"/>
        <w:autoSpaceDN w:val="0"/>
        <w:adjustRightInd w:val="0"/>
        <w:spacing w:before="100" w:beforeAutospacing="1" w:after="100" w:afterAutospacing="1"/>
        <w:ind w:firstLine="601"/>
        <w:rPr>
          <w:rFonts w:ascii="Times New Roman" w:hAnsi="Times New Roman" w:eastAsia="仿宋_GB2312" w:cs="Times New Roman"/>
          <w:b/>
          <w:bCs/>
          <w:sz w:val="44"/>
          <w:szCs w:val="44"/>
        </w:rPr>
      </w:pPr>
      <w:r>
        <w:rPr>
          <w:rFonts w:ascii="Times New Roman" w:hAnsi="Times New Roman" w:eastAsia="仿宋_GB2312" w:cs="Times New Roman"/>
          <w:b/>
          <w:bCs/>
          <w:sz w:val="44"/>
          <w:szCs w:val="44"/>
        </w:rPr>
        <w:t xml:space="preserve"> </w:t>
      </w:r>
    </w:p>
    <w:p>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黑体" w:eastAsia="黑体"/>
          <w:b/>
          <w:bCs/>
          <w:sz w:val="32"/>
          <w:szCs w:val="32"/>
        </w:rPr>
        <w:t>第一部分</w:t>
      </w:r>
      <w:r>
        <w:rPr>
          <w:rFonts w:hint="eastAsia" w:ascii="黑体" w:hAnsi="Times New Roman" w:eastAsia="黑体"/>
          <w:b/>
          <w:bCs/>
          <w:sz w:val="32"/>
          <w:szCs w:val="32"/>
        </w:rPr>
        <w:t xml:space="preserve"> </w:t>
      </w:r>
      <w:r>
        <w:rPr>
          <w:rFonts w:hint="eastAsia" w:ascii="黑体" w:hAnsi="黑体" w:eastAsia="黑体"/>
          <w:b/>
          <w:bCs/>
          <w:sz w:val="32"/>
          <w:szCs w:val="32"/>
        </w:rPr>
        <w:t>部门基本情况</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一、部门职责</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二、机构设置</w:t>
      </w:r>
    </w:p>
    <w:p>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黑体" w:eastAsia="黑体"/>
          <w:b/>
          <w:bCs/>
          <w:sz w:val="32"/>
          <w:szCs w:val="32"/>
        </w:rPr>
        <w:t>第二部分</w:t>
      </w:r>
      <w:r>
        <w:rPr>
          <w:rFonts w:hint="eastAsia" w:ascii="黑体" w:hAnsi="Times New Roman" w:eastAsia="黑体"/>
          <w:b/>
          <w:bCs/>
          <w:sz w:val="32"/>
          <w:szCs w:val="32"/>
        </w:rPr>
        <w:t xml:space="preserve"> 2019</w:t>
      </w:r>
      <w:r>
        <w:rPr>
          <w:rFonts w:hint="eastAsia" w:ascii="黑体" w:hAnsi="黑体" w:eastAsia="黑体"/>
          <w:b/>
          <w:bCs/>
          <w:sz w:val="32"/>
          <w:szCs w:val="32"/>
        </w:rPr>
        <w:t>年度部门决算情况说明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一、关于</w:t>
      </w:r>
      <w:r>
        <w:rPr>
          <w:rFonts w:ascii="仿宋_GB2312" w:hAnsi="Times New Roman"/>
          <w:sz w:val="32"/>
          <w:szCs w:val="32"/>
        </w:rPr>
        <w:t>2019年度预算执行情况分析</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二、关于</w:t>
      </w:r>
      <w:r>
        <w:rPr>
          <w:rFonts w:ascii="仿宋_GB2312" w:hAnsi="Times New Roman"/>
          <w:sz w:val="32"/>
          <w:szCs w:val="32"/>
        </w:rPr>
        <w:t>2019年度决算情况说明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（一）关于收支情况总体说明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（二）关于</w:t>
      </w:r>
      <w:r>
        <w:rPr>
          <w:rFonts w:ascii="仿宋_GB2312" w:hAnsi="Times New Roman"/>
          <w:sz w:val="32"/>
          <w:szCs w:val="32"/>
        </w:rPr>
        <w:t>2019年度收入决算情况说明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（三）关于</w:t>
      </w:r>
      <w:r>
        <w:rPr>
          <w:rFonts w:ascii="仿宋_GB2312" w:hAnsi="Times New Roman"/>
          <w:sz w:val="32"/>
          <w:szCs w:val="32"/>
        </w:rPr>
        <w:t>2019年度支出决算情况说明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（四）关于</w:t>
      </w:r>
      <w:r>
        <w:rPr>
          <w:rFonts w:ascii="仿宋_GB2312" w:hAnsi="Times New Roman"/>
          <w:sz w:val="32"/>
          <w:szCs w:val="32"/>
        </w:rPr>
        <w:t>2019年度财政拨款收入支出决算总体情况说明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（五）关于</w:t>
      </w:r>
      <w:r>
        <w:rPr>
          <w:rFonts w:ascii="仿宋_GB2312" w:hAnsi="Times New Roman"/>
          <w:sz w:val="32"/>
          <w:szCs w:val="32"/>
        </w:rPr>
        <w:t>2019年度一般公共预算财政拨款支出决算情况说明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（六）关于</w:t>
      </w:r>
      <w:r>
        <w:rPr>
          <w:rFonts w:ascii="仿宋_GB2312" w:hAnsi="Times New Roman"/>
          <w:sz w:val="32"/>
          <w:szCs w:val="32"/>
        </w:rPr>
        <w:t>2019年度一般公共预算财政拨款基本支出决算情况说明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（七）关于</w:t>
      </w:r>
      <w:r>
        <w:rPr>
          <w:rFonts w:ascii="仿宋_GB2312" w:hAnsi="Times New Roman"/>
          <w:sz w:val="32"/>
          <w:szCs w:val="32"/>
        </w:rPr>
        <w:t>2019年度财政拨款</w:t>
      </w:r>
      <w:r>
        <w:rPr>
          <w:rFonts w:ascii="Times New Roman" w:hAnsi="Times New Roman" w:eastAsia="仿宋_GB2312" w:cs="Times New Roman"/>
          <w:sz w:val="32"/>
          <w:szCs w:val="32"/>
        </w:rPr>
        <w:t>“</w:t>
      </w:r>
      <w:r>
        <w:rPr>
          <w:rFonts w:ascii="仿宋_GB2312" w:hAnsi="仿宋_GB2312"/>
          <w:sz w:val="32"/>
          <w:szCs w:val="32"/>
        </w:rPr>
        <w:t>三公</w:t>
      </w:r>
      <w:r>
        <w:rPr>
          <w:rFonts w:ascii="Times New Roman" w:hAnsi="Times New Roman" w:eastAsia="仿宋_GB2312" w:cs="Times New Roman"/>
          <w:sz w:val="32"/>
          <w:szCs w:val="32"/>
        </w:rPr>
        <w:t>”</w:t>
      </w:r>
      <w:r>
        <w:rPr>
          <w:rFonts w:ascii="仿宋_GB2312" w:hAnsi="仿宋_GB2312"/>
          <w:sz w:val="32"/>
          <w:szCs w:val="32"/>
        </w:rPr>
        <w:t>经费支出决算情况说明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Times New Roman" w:hAnsi="Times New Roman" w:eastAsia="仿宋_GB2312" w:cs="Times New Roman"/>
          <w:sz w:val="32"/>
          <w:szCs w:val="32"/>
        </w:rPr>
        <w:tab/>
      </w:r>
      <w:r>
        <w:rPr>
          <w:rFonts w:ascii="仿宋_GB2312" w:hAnsi="Times New Roman"/>
          <w:sz w:val="32"/>
          <w:szCs w:val="32"/>
        </w:rPr>
        <w:t>1、财政拨款</w:t>
      </w:r>
      <w:r>
        <w:rPr>
          <w:rFonts w:ascii="Times New Roman" w:hAnsi="Times New Roman" w:eastAsia="仿宋_GB2312" w:cs="Times New Roman"/>
          <w:sz w:val="32"/>
          <w:szCs w:val="32"/>
        </w:rPr>
        <w:t>“</w:t>
      </w:r>
      <w:r>
        <w:rPr>
          <w:rFonts w:ascii="仿宋_GB2312" w:hAnsi="仿宋_GB2312"/>
          <w:sz w:val="32"/>
          <w:szCs w:val="32"/>
        </w:rPr>
        <w:t>三公</w:t>
      </w:r>
      <w:r>
        <w:rPr>
          <w:rFonts w:ascii="Times New Roman" w:hAnsi="Times New Roman" w:eastAsia="仿宋_GB2312" w:cs="Times New Roman"/>
          <w:sz w:val="32"/>
          <w:szCs w:val="32"/>
        </w:rPr>
        <w:t>”</w:t>
      </w:r>
      <w:r>
        <w:rPr>
          <w:rFonts w:ascii="仿宋_GB2312" w:hAnsi="仿宋_GB2312"/>
          <w:sz w:val="32"/>
          <w:szCs w:val="32"/>
        </w:rPr>
        <w:t>经费支出决算总体情况说明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Times New Roman" w:hAnsi="Times New Roman" w:eastAsia="仿宋_GB2312" w:cs="Times New Roman"/>
          <w:sz w:val="32"/>
          <w:szCs w:val="32"/>
        </w:rPr>
        <w:tab/>
      </w:r>
      <w:r>
        <w:rPr>
          <w:rFonts w:ascii="仿宋_GB2312" w:hAnsi="Times New Roman"/>
          <w:sz w:val="32"/>
          <w:szCs w:val="32"/>
        </w:rPr>
        <w:t>2、财政拨款</w:t>
      </w:r>
      <w:r>
        <w:rPr>
          <w:rFonts w:ascii="Times New Roman" w:hAnsi="Times New Roman" w:eastAsia="仿宋_GB2312" w:cs="Times New Roman"/>
          <w:sz w:val="32"/>
          <w:szCs w:val="32"/>
        </w:rPr>
        <w:t>“</w:t>
      </w:r>
      <w:r>
        <w:rPr>
          <w:rFonts w:ascii="仿宋_GB2312" w:hAnsi="仿宋_GB2312"/>
          <w:sz w:val="32"/>
          <w:szCs w:val="32"/>
        </w:rPr>
        <w:t>三公</w:t>
      </w:r>
      <w:r>
        <w:rPr>
          <w:rFonts w:ascii="Times New Roman" w:hAnsi="Times New Roman" w:eastAsia="仿宋_GB2312" w:cs="Times New Roman"/>
          <w:sz w:val="32"/>
          <w:szCs w:val="32"/>
        </w:rPr>
        <w:t>”</w:t>
      </w:r>
      <w:r>
        <w:rPr>
          <w:rFonts w:ascii="仿宋_GB2312" w:hAnsi="仿宋_GB2312"/>
          <w:sz w:val="32"/>
          <w:szCs w:val="32"/>
        </w:rPr>
        <w:t>经费支出决算具体情况说明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三、预算绩效情况说明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ascii="仿宋_GB2312" w:hAnsi="仿宋_GB2312"/>
          <w:sz w:val="32"/>
          <w:szCs w:val="32"/>
        </w:rPr>
        <w:t>（一）预算绩效管理工作开展情况</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ascii="仿宋_GB2312" w:hAnsi="仿宋_GB2312"/>
          <w:sz w:val="32"/>
          <w:szCs w:val="32"/>
        </w:rPr>
        <w:t>（二）部门决算中项目绩效自评结果</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四、其他重要事项的情况说明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（一）机关运行经费支出情况</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（二）政府采购支出情况</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（三）国有资产占用情况</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w:t>
      </w:r>
    </w:p>
    <w:p>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黑体" w:eastAsia="黑体"/>
          <w:b/>
          <w:bCs/>
          <w:sz w:val="32"/>
          <w:szCs w:val="32"/>
        </w:rPr>
        <w:t>第三部分</w:t>
      </w:r>
      <w:r>
        <w:rPr>
          <w:rFonts w:hint="eastAsia" w:ascii="黑体" w:hAnsi="Times New Roman" w:eastAsia="黑体"/>
          <w:b/>
          <w:bCs/>
          <w:sz w:val="32"/>
          <w:szCs w:val="32"/>
        </w:rPr>
        <w:t xml:space="preserve"> </w:t>
      </w:r>
      <w:r>
        <w:rPr>
          <w:rFonts w:hint="eastAsia" w:ascii="黑体" w:hAnsi="黑体" w:eastAsia="黑体"/>
          <w:b/>
          <w:bCs/>
          <w:sz w:val="32"/>
          <w:szCs w:val="32"/>
        </w:rPr>
        <w:t>名词解释</w:t>
      </w:r>
    </w:p>
    <w:p>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黑体" w:eastAsia="黑体"/>
          <w:b/>
          <w:bCs/>
          <w:sz w:val="32"/>
          <w:szCs w:val="32"/>
        </w:rPr>
        <w:t>第四部分</w:t>
      </w:r>
      <w:r>
        <w:rPr>
          <w:rFonts w:hint="eastAsia" w:ascii="黑体" w:hAnsi="Times New Roman" w:eastAsia="黑体"/>
          <w:b/>
          <w:bCs/>
          <w:sz w:val="32"/>
          <w:szCs w:val="32"/>
        </w:rPr>
        <w:t xml:space="preserve"> </w:t>
      </w:r>
      <w:r>
        <w:rPr>
          <w:rFonts w:hint="eastAsia" w:ascii="黑体" w:hAnsi="黑体" w:eastAsia="黑体"/>
          <w:b/>
          <w:bCs/>
          <w:sz w:val="32"/>
          <w:szCs w:val="32"/>
        </w:rPr>
        <w:t>决算公开联系方式及信息反馈渠道</w:t>
      </w:r>
    </w:p>
    <w:p>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黑体" w:eastAsia="黑体"/>
          <w:b/>
          <w:bCs/>
          <w:sz w:val="32"/>
          <w:szCs w:val="32"/>
        </w:rPr>
        <w:t>第五部分</w:t>
      </w:r>
      <w:r>
        <w:rPr>
          <w:rFonts w:hint="eastAsia" w:ascii="黑体" w:hAnsi="Times New Roman" w:eastAsia="黑体"/>
          <w:b/>
          <w:bCs/>
          <w:sz w:val="32"/>
          <w:szCs w:val="32"/>
        </w:rPr>
        <w:t xml:space="preserve"> </w:t>
      </w:r>
      <w:r>
        <w:rPr>
          <w:rFonts w:hint="eastAsia" w:ascii="黑体" w:hAnsi="黑体" w:eastAsia="黑体"/>
          <w:b/>
          <w:bCs/>
          <w:sz w:val="32"/>
          <w:szCs w:val="32"/>
        </w:rPr>
        <w:t>部门决算公开表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一、收入支出决算总表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二、收入决算表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三、支出决算表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四、财政拨款收入支出决算总表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五、一般公共预算财政拨款支出决算表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六、一般公共预算财政拨款基本支出决算明细表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七、政府性基金预算财政拨款收入支出决算表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仿宋_GB2312" w:hAnsi="仿宋_GB2312"/>
          <w:sz w:val="32"/>
          <w:szCs w:val="32"/>
        </w:rPr>
        <w:t>八、机构运行信息表</w:t>
      </w:r>
    </w:p>
    <w:p>
      <w:pPr>
        <w:autoSpaceDE w:val="0"/>
        <w:autoSpaceDN w:val="0"/>
        <w:adjustRightInd w:val="0"/>
        <w:spacing w:before="100" w:beforeAutospacing="1" w:after="100" w:afterAutospacing="1"/>
        <w:ind w:firstLine="601"/>
        <w:rPr>
          <w:rFonts w:ascii="Times New Roman" w:hAnsi="Times New Roman" w:eastAsia="仿宋_GB2312" w:cs="Times New Roman"/>
          <w:b/>
          <w:bCs/>
          <w:sz w:val="44"/>
          <w:szCs w:val="44"/>
        </w:rPr>
      </w:pPr>
      <w:r>
        <w:rPr>
          <w:rFonts w:ascii="Times New Roman" w:hAnsi="Times New Roman" w:eastAsia="仿宋_GB2312" w:cs="Times New Roman"/>
          <w:b/>
          <w:bCs/>
          <w:sz w:val="44"/>
          <w:szCs w:val="44"/>
        </w:rPr>
        <w:t xml:space="preserve"> </w:t>
      </w:r>
    </w:p>
    <w:p>
      <w:r>
        <w:rPr>
          <w:rFonts w:hint="eastAsia"/>
        </w:rPr>
        <w:t xml:space="preserve">  </w:t>
      </w:r>
    </w:p>
    <w:p>
      <w:pPr>
        <w:autoSpaceDE w:val="0"/>
        <w:autoSpaceDN w:val="0"/>
        <w:adjustRightInd w:val="0"/>
        <w:spacing w:before="100" w:beforeAutospacing="1" w:after="100" w:afterAutospacing="1" w:line="580" w:lineRule="exact"/>
        <w:ind w:firstLine="600"/>
        <w:rPr>
          <w:rFonts w:hint="eastAsia" w:ascii="仿宋_GB2312" w:hAnsi="仿宋_GB2312"/>
          <w:b/>
          <w:bCs/>
          <w:sz w:val="32"/>
          <w:szCs w:val="32"/>
        </w:rPr>
      </w:pPr>
    </w:p>
    <w:p>
      <w:pPr>
        <w:autoSpaceDE w:val="0"/>
        <w:autoSpaceDN w:val="0"/>
        <w:adjustRightInd w:val="0"/>
        <w:spacing w:before="100" w:beforeAutospacing="1" w:after="100" w:afterAutospacing="1" w:line="580" w:lineRule="exact"/>
        <w:ind w:firstLine="600"/>
        <w:rPr>
          <w:rFonts w:hint="eastAsia" w:ascii="仿宋_GB2312" w:hAnsi="仿宋_GB2312"/>
          <w:b/>
          <w:bCs/>
          <w:sz w:val="32"/>
          <w:szCs w:val="32"/>
        </w:rPr>
      </w:pPr>
    </w:p>
    <w:p>
      <w:pPr>
        <w:autoSpaceDE w:val="0"/>
        <w:autoSpaceDN w:val="0"/>
        <w:adjustRightInd w:val="0"/>
        <w:spacing w:before="100" w:beforeAutospacing="1" w:after="100" w:afterAutospacing="1" w:line="580" w:lineRule="exact"/>
        <w:ind w:firstLine="600"/>
        <w:rPr>
          <w:rFonts w:hint="eastAsia" w:ascii="仿宋_GB2312" w:hAnsi="仿宋_GB2312"/>
          <w:b/>
          <w:bCs/>
          <w:sz w:val="32"/>
          <w:szCs w:val="32"/>
        </w:rPr>
      </w:pPr>
    </w:p>
    <w:p>
      <w:pPr>
        <w:autoSpaceDE w:val="0"/>
        <w:autoSpaceDN w:val="0"/>
        <w:adjustRightInd w:val="0"/>
        <w:spacing w:before="100" w:beforeAutospacing="1" w:after="100" w:afterAutospacing="1" w:line="580" w:lineRule="exact"/>
        <w:ind w:firstLine="600"/>
        <w:rPr>
          <w:rFonts w:hint="eastAsia" w:ascii="仿宋_GB2312" w:hAnsi="仿宋_GB2312"/>
          <w:b/>
          <w:bCs/>
          <w:sz w:val="32"/>
          <w:szCs w:val="32"/>
        </w:rPr>
      </w:pPr>
    </w:p>
    <w:p>
      <w:pPr>
        <w:autoSpaceDE w:val="0"/>
        <w:autoSpaceDN w:val="0"/>
        <w:adjustRightInd w:val="0"/>
        <w:spacing w:before="100" w:beforeAutospacing="1" w:after="100" w:afterAutospacing="1" w:line="580" w:lineRule="exact"/>
        <w:ind w:firstLine="600"/>
        <w:rPr>
          <w:rFonts w:hint="eastAsia" w:ascii="仿宋_GB2312" w:hAnsi="仿宋_GB2312"/>
          <w:b/>
          <w:bCs/>
          <w:sz w:val="32"/>
          <w:szCs w:val="32"/>
        </w:rPr>
      </w:pPr>
    </w:p>
    <w:p>
      <w:pPr>
        <w:autoSpaceDE w:val="0"/>
        <w:autoSpaceDN w:val="0"/>
        <w:adjustRightInd w:val="0"/>
        <w:spacing w:before="100" w:beforeAutospacing="1" w:after="100" w:afterAutospacing="1" w:line="580" w:lineRule="exact"/>
        <w:ind w:firstLine="600"/>
        <w:rPr>
          <w:rFonts w:hint="eastAsia" w:ascii="仿宋_GB2312" w:hAnsi="仿宋_GB2312"/>
          <w:b/>
          <w:bCs/>
          <w:sz w:val="32"/>
          <w:szCs w:val="32"/>
        </w:rPr>
      </w:pPr>
    </w:p>
    <w:p>
      <w:pPr>
        <w:autoSpaceDE w:val="0"/>
        <w:autoSpaceDN w:val="0"/>
        <w:adjustRightInd w:val="0"/>
        <w:spacing w:before="100" w:beforeAutospacing="1" w:after="100" w:afterAutospacing="1" w:line="580" w:lineRule="exact"/>
        <w:ind w:firstLine="600"/>
        <w:rPr>
          <w:rFonts w:hint="eastAsia" w:ascii="仿宋_GB2312" w:hAnsi="仿宋_GB2312"/>
          <w:b/>
          <w:bCs/>
          <w:sz w:val="32"/>
          <w:szCs w:val="32"/>
        </w:rPr>
      </w:pPr>
    </w:p>
    <w:p>
      <w:pPr>
        <w:autoSpaceDE w:val="0"/>
        <w:autoSpaceDN w:val="0"/>
        <w:adjustRightInd w:val="0"/>
        <w:spacing w:before="100" w:beforeAutospacing="1" w:after="100" w:afterAutospacing="1" w:line="580" w:lineRule="exact"/>
        <w:ind w:firstLine="600"/>
        <w:rPr>
          <w:rFonts w:hint="eastAsia" w:ascii="Times New Roman" w:hAnsi="Times New Roman" w:eastAsia="仿宋_GB2312" w:cs="Times New Roman"/>
          <w:sz w:val="32"/>
          <w:szCs w:val="32"/>
        </w:rPr>
      </w:pPr>
      <w:r>
        <w:rPr>
          <w:rFonts w:ascii="仿宋_GB2312" w:hAnsi="仿宋_GB2312"/>
          <w:b/>
          <w:bCs/>
          <w:sz w:val="32"/>
          <w:szCs w:val="32"/>
        </w:rPr>
        <w:t>第一部分</w:t>
      </w:r>
      <w:r>
        <w:rPr>
          <w:rFonts w:ascii="仿宋_GB2312" w:hAnsi="Times New Roman"/>
          <w:b/>
          <w:bCs/>
          <w:sz w:val="32"/>
          <w:szCs w:val="32"/>
        </w:rPr>
        <w:t xml:space="preserve"> </w:t>
      </w:r>
      <w:r>
        <w:rPr>
          <w:rFonts w:ascii="仿宋_GB2312" w:hAnsi="仿宋_GB2312"/>
          <w:b/>
          <w:bCs/>
          <w:sz w:val="32"/>
          <w:szCs w:val="32"/>
        </w:rPr>
        <w:t>部门基本情况</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ascii="仿宋_GB2312" w:hAnsi="仿宋_GB2312"/>
          <w:sz w:val="32"/>
          <w:szCs w:val="32"/>
        </w:rPr>
        <w:t>一、部门职责</w:t>
      </w:r>
    </w:p>
    <w:p>
      <w:pPr>
        <w:snapToGrid w:val="0"/>
        <w:spacing w:line="360" w:lineRule="auto"/>
        <w:ind w:firstLine="640" w:firstLineChars="200"/>
        <w:rPr>
          <w:rFonts w:ascii="仿宋" w:hAnsi="仿宋" w:eastAsia="仿宋"/>
          <w:sz w:val="32"/>
          <w:szCs w:val="32"/>
        </w:rPr>
      </w:pPr>
      <w:r>
        <w:rPr>
          <w:rFonts w:hint="eastAsia" w:ascii="仿宋" w:hAnsi="仿宋" w:eastAsia="仿宋"/>
          <w:color w:val="000000"/>
          <w:sz w:val="32"/>
          <w:szCs w:val="32"/>
        </w:rPr>
        <w:t>贯彻执行国家、自治区有关机关事务工作的方针政策，负责拟定机关事务工作规章制度并组织实施。负责市级党委、人大、政府、政协机关事务管理、保障、服务工作。负责贯彻执行《公共机构节能条例》；推进、指导、协调、监督全市公共机构节能工作。负责市级机关、事业单位公务用车的编制、管理、更新、处置工作；推进全市公务用车制度改革工作；监督指导全市公务用车配置使用工作。负责对全市党政机关、参公事业单位公务用车使用的监督工作；市级集中管理公务用车的统筹调度使用工作；应急、抢险、救灾等工作车辆保障工作。负责全市办公用房管理的指导工作；承担市直单位集中办公区域办公用房管理和社会化服务机构的监管等工作。负责市本级异地交流干部周转住房、专家公寓和餐厅的管理和服务工作。负责市本级办公用房维修项目的审批、组织实施、工程质量监督和验收工作等。负责市直单位集中办公区域的安全保卫、突发事件处置、应急管理、消防安全工作。完成主管部门交办的其他工作。</w:t>
      </w:r>
      <w:r>
        <w:rPr>
          <w:rFonts w:hint="eastAsia" w:ascii="仿宋" w:hAnsi="仿宋" w:eastAsia="仿宋"/>
          <w:sz w:val="32"/>
          <w:szCs w:val="32"/>
        </w:rPr>
        <w:t>下属单位呼伦贝尔市直属机关住房建设管理服务中心的主要职能是服务呼伦贝尔市直机关职工经济住房建设、管理服务工作。</w:t>
      </w:r>
    </w:p>
    <w:p>
      <w:pPr>
        <w:autoSpaceDE w:val="0"/>
        <w:autoSpaceDN w:val="0"/>
        <w:adjustRightInd w:val="0"/>
        <w:spacing w:before="100" w:beforeAutospacing="1" w:after="100" w:afterAutospacing="1" w:line="580" w:lineRule="exact"/>
        <w:ind w:firstLine="320" w:firstLineChars="100"/>
        <w:rPr>
          <w:rFonts w:hint="eastAsia" w:ascii="仿宋_GB2312" w:hAnsi="仿宋_GB2312"/>
          <w:sz w:val="32"/>
          <w:szCs w:val="32"/>
        </w:rPr>
      </w:pPr>
    </w:p>
    <w:p>
      <w:pPr>
        <w:autoSpaceDE w:val="0"/>
        <w:autoSpaceDN w:val="0"/>
        <w:adjustRightInd w:val="0"/>
        <w:spacing w:before="100" w:beforeAutospacing="1" w:after="100" w:afterAutospacing="1" w:line="580" w:lineRule="exact"/>
        <w:ind w:firstLine="320" w:firstLineChars="100"/>
        <w:rPr>
          <w:rFonts w:hint="eastAsia" w:ascii="Times New Roman" w:hAnsi="Times New Roman" w:eastAsia="仿宋_GB2312" w:cs="Times New Roman"/>
          <w:sz w:val="32"/>
          <w:szCs w:val="32"/>
        </w:rPr>
      </w:pPr>
      <w:r>
        <w:rPr>
          <w:rFonts w:ascii="仿宋_GB2312" w:hAnsi="仿宋_GB2312"/>
          <w:sz w:val="32"/>
          <w:szCs w:val="32"/>
        </w:rPr>
        <w:t>二、机构设置</w:t>
      </w:r>
    </w:p>
    <w:p>
      <w:pPr>
        <w:adjustRightInd w:val="0"/>
        <w:spacing w:before="100" w:beforeAutospacing="1" w:after="100" w:afterAutospacing="1" w:line="580" w:lineRule="exact"/>
        <w:ind w:firstLine="600"/>
        <w:rPr>
          <w:rFonts w:ascii="仿宋" w:hAnsi="仿宋" w:eastAsia="仿宋"/>
          <w:color w:val="000000"/>
          <w:sz w:val="32"/>
          <w:szCs w:val="32"/>
        </w:rPr>
      </w:pPr>
      <w:r>
        <w:rPr>
          <w:rFonts w:ascii="仿宋" w:hAnsi="仿宋" w:eastAsia="仿宋"/>
          <w:color w:val="000000"/>
          <w:sz w:val="32"/>
          <w:szCs w:val="32"/>
        </w:rPr>
        <w:t>本单位内设办公室、公共机构节能科、车辆管理一科、车辆管理二科、资产管理科、财务审计科、机关事务管理科、基建维修科、安全保卫科等九个正科级科室。</w:t>
      </w:r>
      <w:r>
        <w:rPr>
          <w:rFonts w:hint="eastAsia" w:ascii="仿宋" w:hAnsi="仿宋" w:eastAsia="仿宋"/>
          <w:sz w:val="32"/>
          <w:szCs w:val="32"/>
        </w:rPr>
        <w:t>下属单位呼伦贝尔市直属机关住房建设管理服务中心。</w:t>
      </w:r>
      <w:r>
        <w:rPr>
          <w:rFonts w:ascii="仿宋" w:hAnsi="仿宋" w:eastAsia="仿宋"/>
          <w:color w:val="000000"/>
          <w:sz w:val="32"/>
          <w:szCs w:val="32"/>
        </w:rPr>
        <w:t>市机关局核定事业编制64名，实有在职事业编制40人，退休人员17人，遗属2人，聘用人员8人。市直属机关住房建设管理服务中心编制数31人，在职参公人员14人，工勤人员6人。退休人员34人，遗属2人。</w:t>
      </w:r>
    </w:p>
    <w:p>
      <w:pPr>
        <w:spacing w:line="560" w:lineRule="exact"/>
        <w:ind w:firstLine="630" w:firstLineChars="196"/>
        <w:rPr>
          <w:rFonts w:ascii="仿宋_GB2312"/>
          <w:b/>
          <w:bCs/>
          <w:sz w:val="32"/>
          <w:szCs w:val="32"/>
        </w:rPr>
      </w:pPr>
      <w:r>
        <w:rPr>
          <w:rFonts w:ascii="仿宋_GB2312"/>
          <w:b/>
          <w:bCs/>
          <w:sz w:val="32"/>
          <w:szCs w:val="32"/>
        </w:rPr>
        <w:t xml:space="preserve"> </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b/>
          <w:bCs/>
          <w:sz w:val="32"/>
          <w:szCs w:val="32"/>
        </w:rPr>
      </w:pPr>
      <w:r>
        <w:rPr>
          <w:rFonts w:ascii="仿宋_GB2312" w:hAnsi="仿宋_GB2312"/>
          <w:b/>
          <w:bCs/>
          <w:sz w:val="32"/>
          <w:szCs w:val="32"/>
        </w:rPr>
        <w:t>第二部分</w:t>
      </w:r>
      <w:r>
        <w:rPr>
          <w:rFonts w:ascii="仿宋_GB2312" w:hAnsi="Times New Roman"/>
          <w:b/>
          <w:bCs/>
          <w:sz w:val="32"/>
          <w:szCs w:val="32"/>
        </w:rPr>
        <w:t xml:space="preserve"> 2019年度部门决算情况说明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ascii="仿宋_GB2312" w:hAnsi="仿宋_GB2312"/>
          <w:sz w:val="32"/>
          <w:szCs w:val="32"/>
        </w:rPr>
        <w:t>一、关于</w:t>
      </w:r>
      <w:r>
        <w:rPr>
          <w:rFonts w:ascii="仿宋_GB2312" w:hAnsi="Times New Roman"/>
          <w:sz w:val="32"/>
          <w:szCs w:val="32"/>
        </w:rPr>
        <w:t>2019年度预算执行情况分析</w:t>
      </w:r>
    </w:p>
    <w:p>
      <w:pPr>
        <w:adjustRightInd w:val="0"/>
        <w:spacing w:before="100" w:beforeAutospacing="1" w:after="100" w:afterAutospacing="1" w:line="580" w:lineRule="exact"/>
        <w:ind w:firstLine="600"/>
        <w:rPr>
          <w:rFonts w:hint="eastAsia" w:ascii="仿宋" w:hAnsi="仿宋" w:eastAsia="仿宋"/>
          <w:color w:val="000000"/>
          <w:sz w:val="32"/>
          <w:szCs w:val="32"/>
        </w:rPr>
      </w:pPr>
      <w:r>
        <w:rPr>
          <w:rFonts w:ascii="仿宋" w:hAnsi="仿宋" w:eastAsia="仿宋"/>
          <w:color w:val="000000"/>
          <w:sz w:val="32"/>
          <w:szCs w:val="32"/>
        </w:rPr>
        <w:t>本单位2019年综合年初预算收入4417.01万元，本年综合收入6178.69万元，增加1761.68万元，主要原因为本年度后期增加了专项资金。本单位2019年综合年初预算支出4417.01万元，本年综合支出5378.02万元，增加961.01万元，主要原因为本年度后期增加了专项资金。本单位2019年年初预算收入4417.01万元，本年财政拨款收入6178.65万元，增加1761.64万元，主要原因为本年度后期增加了专项资金。本单位2019年年初预算支出4417.01万元，本年</w:t>
      </w:r>
    </w:p>
    <w:p>
      <w:pPr>
        <w:adjustRightInd w:val="0"/>
        <w:spacing w:before="100" w:beforeAutospacing="1" w:after="100" w:afterAutospacing="1" w:line="580" w:lineRule="exact"/>
        <w:rPr>
          <w:rFonts w:ascii="仿宋" w:hAnsi="仿宋" w:eastAsia="仿宋"/>
          <w:color w:val="000000"/>
          <w:sz w:val="32"/>
          <w:szCs w:val="32"/>
        </w:rPr>
      </w:pPr>
      <w:r>
        <w:rPr>
          <w:rFonts w:ascii="仿宋" w:hAnsi="仿宋" w:eastAsia="仿宋"/>
          <w:color w:val="000000"/>
          <w:sz w:val="32"/>
          <w:szCs w:val="32"/>
        </w:rPr>
        <w:t>财政拨款支出5378.02万元，增加961.01万元，主要原因为本年度后期增加了专项资金。</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ascii="仿宋_GB2312" w:hAnsi="仿宋_GB2312"/>
          <w:sz w:val="32"/>
          <w:szCs w:val="32"/>
        </w:rPr>
        <w:t>二、关于</w:t>
      </w:r>
      <w:r>
        <w:rPr>
          <w:rFonts w:ascii="仿宋_GB2312" w:hAnsi="Times New Roman"/>
          <w:sz w:val="32"/>
          <w:szCs w:val="32"/>
        </w:rPr>
        <w:t>2019年度决算情况说明</w:t>
      </w:r>
    </w:p>
    <w:p>
      <w:pPr>
        <w:autoSpaceDE w:val="0"/>
        <w:autoSpaceDN w:val="0"/>
        <w:adjustRightInd w:val="0"/>
        <w:spacing w:before="100" w:beforeAutospacing="1" w:after="100" w:afterAutospacing="1" w:line="580" w:lineRule="exact"/>
        <w:ind w:firstLine="600"/>
        <w:rPr>
          <w:rFonts w:ascii="Times New Roman" w:hAnsi="Times New Roman" w:eastAsia="楷体" w:cs="Times New Roman"/>
          <w:sz w:val="32"/>
          <w:szCs w:val="32"/>
        </w:rPr>
      </w:pPr>
      <w:r>
        <w:rPr>
          <w:rFonts w:hint="eastAsia" w:ascii="楷体" w:hAnsi="楷体" w:eastAsia="楷体"/>
          <w:sz w:val="32"/>
          <w:szCs w:val="32"/>
        </w:rPr>
        <w:t>（一）关于收支情况总体说明</w:t>
      </w:r>
    </w:p>
    <w:p>
      <w:pPr>
        <w:autoSpaceDE w:val="0"/>
        <w:autoSpaceDN w:val="0"/>
        <w:adjustRightInd w:val="0"/>
        <w:spacing w:before="100" w:beforeAutospacing="1" w:after="100" w:afterAutospacing="1" w:line="580" w:lineRule="exact"/>
        <w:ind w:firstLine="600"/>
        <w:rPr>
          <w:rFonts w:ascii="仿宋" w:hAnsi="仿宋" w:eastAsia="仿宋"/>
          <w:color w:val="000000"/>
          <w:sz w:val="32"/>
          <w:szCs w:val="32"/>
        </w:rPr>
      </w:pPr>
      <w:r>
        <w:rPr>
          <w:rFonts w:ascii="仿宋" w:hAnsi="仿宋" w:eastAsia="仿宋"/>
          <w:color w:val="000000"/>
          <w:sz w:val="32"/>
          <w:szCs w:val="32"/>
        </w:rPr>
        <w:t>本部门2019年度收入总计7,282.65万元，其中：本年收入合计6,178.69万元，用事业基金弥补收支差额0.00万元，年初结转和结余1,103.96万元；支出总计7,282.65万元，其中：结余分配0.00万元，年末结转和结余1,904.64万元。与2018年度相比，收入总计增加7,282.65万元，增长0.00%；支出总计增加7,282.65万元，增长0.00%。主要原因：此次为本单位首次作为主管部门进行决算公开。</w:t>
      </w:r>
    </w:p>
    <w:p>
      <w:pPr>
        <w:autoSpaceDE w:val="0"/>
        <w:autoSpaceDN w:val="0"/>
        <w:adjustRightInd w:val="0"/>
        <w:spacing w:before="100" w:beforeAutospacing="1" w:after="100" w:afterAutospacing="1" w:line="580" w:lineRule="exact"/>
        <w:ind w:firstLine="600"/>
        <w:rPr>
          <w:rFonts w:ascii="Times New Roman" w:hAnsi="Times New Roman" w:eastAsia="楷体" w:cs="Times New Roman"/>
          <w:sz w:val="32"/>
          <w:szCs w:val="32"/>
        </w:rPr>
      </w:pPr>
      <w:r>
        <w:rPr>
          <w:rFonts w:hint="eastAsia" w:ascii="楷体" w:hAnsi="楷体" w:eastAsia="楷体"/>
          <w:sz w:val="32"/>
          <w:szCs w:val="32"/>
        </w:rPr>
        <w:t>（二）关于</w:t>
      </w:r>
      <w:r>
        <w:rPr>
          <w:rFonts w:hint="eastAsia" w:ascii="楷体" w:hAnsi="Times New Roman" w:eastAsia="楷体"/>
          <w:sz w:val="32"/>
          <w:szCs w:val="32"/>
        </w:rPr>
        <w:t>2019</w:t>
      </w:r>
      <w:r>
        <w:rPr>
          <w:rFonts w:hint="eastAsia" w:ascii="楷体" w:hAnsi="楷体" w:eastAsia="楷体"/>
          <w:sz w:val="32"/>
          <w:szCs w:val="32"/>
        </w:rPr>
        <w:t>年度收入决算情况说明</w:t>
      </w:r>
    </w:p>
    <w:p>
      <w:pPr>
        <w:autoSpaceDE w:val="0"/>
        <w:autoSpaceDN w:val="0"/>
        <w:adjustRightInd w:val="0"/>
        <w:spacing w:before="100" w:beforeAutospacing="1" w:after="100" w:afterAutospacing="1" w:line="580" w:lineRule="exact"/>
        <w:ind w:firstLine="600"/>
        <w:rPr>
          <w:rFonts w:ascii="仿宋" w:hAnsi="仿宋" w:eastAsia="仿宋"/>
          <w:color w:val="000000"/>
          <w:sz w:val="32"/>
          <w:szCs w:val="32"/>
        </w:rPr>
      </w:pPr>
      <w:r>
        <w:rPr>
          <w:rFonts w:ascii="仿宋" w:hAnsi="仿宋" w:eastAsia="仿宋"/>
          <w:color w:val="000000"/>
          <w:sz w:val="32"/>
          <w:szCs w:val="32"/>
        </w:rPr>
        <w:t>本部门2019年度收入合计6,178.69万元，其中：财政拨款收入6,178.65万元，占100.00%；事业收入0.00万元，占0.00%；经营收入0.00万元，占0.00%；其他收入0.04万元，占0.00%。</w:t>
      </w:r>
    </w:p>
    <w:p>
      <w:pPr>
        <w:autoSpaceDE w:val="0"/>
        <w:autoSpaceDN w:val="0"/>
        <w:adjustRightInd w:val="0"/>
        <w:spacing w:before="100" w:beforeAutospacing="1" w:after="100" w:afterAutospacing="1" w:line="580" w:lineRule="exact"/>
        <w:ind w:firstLine="600"/>
        <w:rPr>
          <w:rFonts w:ascii="Times New Roman" w:hAnsi="Times New Roman" w:eastAsia="楷体" w:cs="Times New Roman"/>
          <w:sz w:val="32"/>
          <w:szCs w:val="32"/>
        </w:rPr>
      </w:pPr>
      <w:r>
        <w:rPr>
          <w:rFonts w:hint="eastAsia" w:ascii="楷体" w:hAnsi="楷体" w:eastAsia="楷体"/>
          <w:sz w:val="32"/>
          <w:szCs w:val="32"/>
        </w:rPr>
        <w:t>（三）关于</w:t>
      </w:r>
      <w:r>
        <w:rPr>
          <w:rFonts w:hint="eastAsia" w:ascii="楷体" w:hAnsi="Times New Roman" w:eastAsia="楷体"/>
          <w:sz w:val="32"/>
          <w:szCs w:val="32"/>
        </w:rPr>
        <w:t>2019</w:t>
      </w:r>
      <w:r>
        <w:rPr>
          <w:rFonts w:hint="eastAsia" w:ascii="楷体" w:hAnsi="楷体" w:eastAsia="楷体"/>
          <w:sz w:val="32"/>
          <w:szCs w:val="32"/>
        </w:rPr>
        <w:t>年度支出决算情况说明</w:t>
      </w:r>
    </w:p>
    <w:p>
      <w:pPr>
        <w:autoSpaceDE w:val="0"/>
        <w:autoSpaceDN w:val="0"/>
        <w:adjustRightInd w:val="0"/>
        <w:spacing w:before="100" w:beforeAutospacing="1" w:after="100" w:afterAutospacing="1" w:line="580" w:lineRule="exact"/>
        <w:ind w:firstLine="600"/>
        <w:rPr>
          <w:rFonts w:ascii="仿宋" w:hAnsi="仿宋" w:eastAsia="仿宋"/>
          <w:color w:val="000000"/>
          <w:sz w:val="32"/>
          <w:szCs w:val="32"/>
        </w:rPr>
      </w:pPr>
      <w:r>
        <w:rPr>
          <w:rFonts w:ascii="仿宋" w:hAnsi="仿宋" w:eastAsia="仿宋"/>
          <w:color w:val="000000"/>
          <w:sz w:val="32"/>
          <w:szCs w:val="32"/>
        </w:rPr>
        <w:t>本部门2019年度支出合计5,378.02万元，其中：基本支出3,470.55万元，占64.50%；项目支出1,907.47万元，占35.50%；经营支出0.00万元，占0.00%。</w:t>
      </w:r>
    </w:p>
    <w:p>
      <w:pPr>
        <w:autoSpaceDE w:val="0"/>
        <w:autoSpaceDN w:val="0"/>
        <w:adjustRightInd w:val="0"/>
        <w:spacing w:before="100" w:beforeAutospacing="1" w:after="100" w:afterAutospacing="1" w:line="580" w:lineRule="exact"/>
        <w:ind w:firstLine="600"/>
        <w:rPr>
          <w:rFonts w:hint="eastAsia" w:ascii="楷体" w:hAnsi="楷体" w:eastAsia="楷体"/>
          <w:sz w:val="32"/>
          <w:szCs w:val="32"/>
        </w:rPr>
      </w:pPr>
    </w:p>
    <w:p>
      <w:pPr>
        <w:autoSpaceDE w:val="0"/>
        <w:autoSpaceDN w:val="0"/>
        <w:adjustRightInd w:val="0"/>
        <w:spacing w:before="100" w:beforeAutospacing="1" w:after="100" w:afterAutospacing="1" w:line="580" w:lineRule="exact"/>
        <w:ind w:firstLine="600"/>
        <w:rPr>
          <w:rFonts w:ascii="Times New Roman" w:hAnsi="Times New Roman" w:eastAsia="楷体" w:cs="Times New Roman"/>
          <w:sz w:val="32"/>
          <w:szCs w:val="32"/>
        </w:rPr>
      </w:pPr>
      <w:r>
        <w:rPr>
          <w:rFonts w:hint="eastAsia" w:ascii="楷体" w:hAnsi="楷体" w:eastAsia="楷体"/>
          <w:sz w:val="32"/>
          <w:szCs w:val="32"/>
        </w:rPr>
        <w:t>（四）关于</w:t>
      </w:r>
      <w:r>
        <w:rPr>
          <w:rFonts w:hint="eastAsia" w:ascii="楷体" w:hAnsi="Times New Roman" w:eastAsia="楷体"/>
          <w:sz w:val="32"/>
          <w:szCs w:val="32"/>
        </w:rPr>
        <w:t>2019</w:t>
      </w:r>
      <w:r>
        <w:rPr>
          <w:rFonts w:hint="eastAsia" w:ascii="楷体" w:hAnsi="楷体" w:eastAsia="楷体"/>
          <w:sz w:val="32"/>
          <w:szCs w:val="32"/>
        </w:rPr>
        <w:t>年度财政拨款收入支出决算总体情况说明</w:t>
      </w:r>
    </w:p>
    <w:p>
      <w:pPr>
        <w:autoSpaceDE w:val="0"/>
        <w:autoSpaceDN w:val="0"/>
        <w:adjustRightInd w:val="0"/>
        <w:spacing w:before="100" w:beforeAutospacing="1" w:after="100" w:afterAutospacing="1" w:line="580" w:lineRule="exact"/>
        <w:ind w:firstLine="600"/>
        <w:rPr>
          <w:rFonts w:ascii="仿宋" w:hAnsi="仿宋" w:eastAsia="仿宋" w:cs="Times New Roman"/>
          <w:color w:val="000000"/>
          <w:sz w:val="32"/>
          <w:szCs w:val="32"/>
        </w:rPr>
      </w:pPr>
      <w:r>
        <w:rPr>
          <w:rFonts w:ascii="仿宋" w:hAnsi="仿宋" w:eastAsia="仿宋"/>
          <w:color w:val="000000"/>
          <w:sz w:val="32"/>
          <w:szCs w:val="32"/>
        </w:rPr>
        <w:t>本部门2019年度财政拨款收入总计7,282.62万元，其中：年初结转和结余1,103.96万元；支出总计7,282.62万元，其中：年末结转和结余1,904.60万元。与2018年度相比，收入增加7,282.62万元，增长0.00%；支出增加7,282.62万元，增长0.00%。主要原因：此次为本单位首次作为主管部门进行决算公开。</w:t>
      </w:r>
    </w:p>
    <w:p>
      <w:pPr>
        <w:autoSpaceDE w:val="0"/>
        <w:autoSpaceDN w:val="0"/>
        <w:adjustRightInd w:val="0"/>
        <w:spacing w:before="100" w:beforeAutospacing="1" w:after="100" w:afterAutospacing="1" w:line="580" w:lineRule="exact"/>
        <w:ind w:firstLine="600"/>
        <w:rPr>
          <w:rFonts w:ascii="Times New Roman" w:hAnsi="Times New Roman" w:eastAsia="楷体" w:cs="Times New Roman"/>
          <w:sz w:val="32"/>
          <w:szCs w:val="32"/>
        </w:rPr>
      </w:pPr>
      <w:r>
        <w:rPr>
          <w:rFonts w:hint="eastAsia" w:ascii="楷体" w:hAnsi="楷体" w:eastAsia="楷体"/>
          <w:sz w:val="32"/>
          <w:szCs w:val="32"/>
        </w:rPr>
        <w:t>（五）关于</w:t>
      </w:r>
      <w:r>
        <w:rPr>
          <w:rFonts w:hint="eastAsia" w:ascii="楷体" w:hAnsi="Times New Roman" w:eastAsia="楷体"/>
          <w:sz w:val="32"/>
          <w:szCs w:val="32"/>
        </w:rPr>
        <w:t>2019</w:t>
      </w:r>
      <w:r>
        <w:rPr>
          <w:rFonts w:hint="eastAsia" w:ascii="楷体" w:hAnsi="楷体" w:eastAsia="楷体"/>
          <w:sz w:val="32"/>
          <w:szCs w:val="32"/>
        </w:rPr>
        <w:t>年度一般公共预算财政拨款支出决算情况说明</w:t>
      </w:r>
    </w:p>
    <w:p>
      <w:pPr>
        <w:autoSpaceDE w:val="0"/>
        <w:autoSpaceDN w:val="0"/>
        <w:adjustRightInd w:val="0"/>
        <w:spacing w:before="100" w:beforeAutospacing="1" w:after="100" w:afterAutospacing="1" w:line="580" w:lineRule="exact"/>
        <w:ind w:firstLine="600"/>
        <w:rPr>
          <w:rFonts w:ascii="仿宋" w:hAnsi="仿宋" w:eastAsia="仿宋" w:cs="Times New Roman"/>
          <w:color w:val="000000"/>
          <w:sz w:val="32"/>
          <w:szCs w:val="32"/>
        </w:rPr>
      </w:pPr>
      <w:r>
        <w:rPr>
          <w:rFonts w:ascii="仿宋" w:hAnsi="仿宋" w:eastAsia="仿宋"/>
          <w:color w:val="000000"/>
          <w:sz w:val="32"/>
          <w:szCs w:val="32"/>
        </w:rPr>
        <w:t>本部门2019年度一般公共预算财政拨款支出合计5,378.02万元，其中：基本支出3,470.55万元，占64.50%；项目支出1,907.47万元，占35.50%。</w:t>
      </w:r>
    </w:p>
    <w:p>
      <w:pPr>
        <w:autoSpaceDE w:val="0"/>
        <w:autoSpaceDN w:val="0"/>
        <w:adjustRightInd w:val="0"/>
        <w:spacing w:before="100" w:beforeAutospacing="1" w:after="100" w:afterAutospacing="1" w:line="580" w:lineRule="exact"/>
        <w:ind w:firstLine="600"/>
        <w:rPr>
          <w:rFonts w:ascii="Times New Roman" w:hAnsi="Times New Roman" w:eastAsia="楷体" w:cs="Times New Roman"/>
          <w:sz w:val="32"/>
          <w:szCs w:val="32"/>
        </w:rPr>
      </w:pPr>
      <w:r>
        <w:rPr>
          <w:rFonts w:hint="eastAsia" w:ascii="楷体" w:hAnsi="楷体" w:eastAsia="楷体"/>
          <w:sz w:val="32"/>
          <w:szCs w:val="32"/>
        </w:rPr>
        <w:t>（六）关于</w:t>
      </w:r>
      <w:r>
        <w:rPr>
          <w:rFonts w:hint="eastAsia" w:ascii="楷体" w:hAnsi="Times New Roman" w:eastAsia="楷体"/>
          <w:sz w:val="32"/>
          <w:szCs w:val="32"/>
        </w:rPr>
        <w:t>2019</w:t>
      </w:r>
      <w:r>
        <w:rPr>
          <w:rFonts w:hint="eastAsia" w:ascii="楷体" w:hAnsi="楷体" w:eastAsia="楷体"/>
          <w:sz w:val="32"/>
          <w:szCs w:val="32"/>
        </w:rPr>
        <w:t>年度一般公共预算财政拨款基本支出决算情况说明</w:t>
      </w:r>
    </w:p>
    <w:p>
      <w:pPr>
        <w:autoSpaceDE w:val="0"/>
        <w:autoSpaceDN w:val="0"/>
        <w:adjustRightInd w:val="0"/>
        <w:spacing w:before="100" w:beforeAutospacing="1" w:after="100" w:afterAutospacing="1" w:line="580" w:lineRule="exact"/>
        <w:ind w:firstLine="600"/>
        <w:rPr>
          <w:rFonts w:ascii="仿宋" w:hAnsi="仿宋" w:eastAsia="仿宋"/>
          <w:color w:val="000000"/>
          <w:sz w:val="32"/>
          <w:szCs w:val="32"/>
        </w:rPr>
      </w:pPr>
      <w:r>
        <w:rPr>
          <w:rFonts w:ascii="仿宋" w:hAnsi="仿宋" w:eastAsia="仿宋"/>
          <w:color w:val="000000"/>
          <w:sz w:val="32"/>
          <w:szCs w:val="32"/>
        </w:rPr>
        <w:t>本部门2019年度一般公共预算财政拨款基本支出3,470.55万元，其中：人员经费872.24万元，主要包括：基本工资、津贴补贴、奖金、社会保障缴费、住房公积金等，较上年增加872.24万元，主要原因是：此次为本单位首次作为主管部门进行决算公开；公用经费2,598.29万元，主要包括：办公费、手续费、水费、电费、邮电费、取暖费、物业管理费、差旅费、维修(护）费、委托业务费、公务用车运行维护费，较上年增加2,598.29万元，主要原因是：此次为本单位首次作为主管部门进行决算公开。</w:t>
      </w:r>
    </w:p>
    <w:p>
      <w:pPr>
        <w:autoSpaceDE w:val="0"/>
        <w:autoSpaceDN w:val="0"/>
        <w:adjustRightInd w:val="0"/>
        <w:spacing w:before="100" w:beforeAutospacing="1" w:after="100" w:afterAutospacing="1" w:line="580" w:lineRule="exact"/>
        <w:ind w:firstLine="600"/>
        <w:rPr>
          <w:rFonts w:ascii="Times New Roman" w:hAnsi="Times New Roman" w:eastAsia="楷体" w:cs="Times New Roman"/>
          <w:sz w:val="32"/>
          <w:szCs w:val="32"/>
        </w:rPr>
      </w:pPr>
      <w:r>
        <w:rPr>
          <w:rFonts w:hint="eastAsia" w:ascii="楷体" w:hAnsi="楷体" w:eastAsia="楷体"/>
          <w:sz w:val="32"/>
          <w:szCs w:val="32"/>
        </w:rPr>
        <w:t>（七）关于</w:t>
      </w:r>
      <w:r>
        <w:rPr>
          <w:rFonts w:hint="eastAsia" w:ascii="楷体" w:hAnsi="Times New Roman" w:eastAsia="楷体"/>
          <w:sz w:val="32"/>
          <w:szCs w:val="32"/>
        </w:rPr>
        <w:t>2019</w:t>
      </w:r>
      <w:r>
        <w:rPr>
          <w:rFonts w:hint="eastAsia" w:ascii="楷体" w:hAnsi="楷体" w:eastAsia="楷体"/>
          <w:sz w:val="32"/>
          <w:szCs w:val="32"/>
        </w:rPr>
        <w:t>年度财政拨款</w:t>
      </w:r>
      <w:r>
        <w:rPr>
          <w:rFonts w:ascii="Times New Roman" w:hAnsi="Times New Roman" w:eastAsia="楷体" w:cs="Times New Roman"/>
          <w:sz w:val="32"/>
          <w:szCs w:val="32"/>
        </w:rPr>
        <w:t>“</w:t>
      </w:r>
      <w:r>
        <w:rPr>
          <w:rFonts w:hint="eastAsia" w:ascii="楷体" w:hAnsi="楷体" w:eastAsia="楷体"/>
          <w:sz w:val="32"/>
          <w:szCs w:val="32"/>
        </w:rPr>
        <w:t>三公</w:t>
      </w:r>
      <w:r>
        <w:rPr>
          <w:rFonts w:ascii="Times New Roman" w:hAnsi="Times New Roman" w:eastAsia="楷体" w:cs="Times New Roman"/>
          <w:sz w:val="32"/>
          <w:szCs w:val="32"/>
        </w:rPr>
        <w:t>”</w:t>
      </w:r>
      <w:r>
        <w:rPr>
          <w:rFonts w:hint="eastAsia" w:ascii="楷体" w:hAnsi="楷体" w:eastAsia="楷体"/>
          <w:sz w:val="32"/>
          <w:szCs w:val="32"/>
        </w:rPr>
        <w:t>经费支出决算情况说明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ascii="仿宋_GB2312" w:hAnsi="Times New Roman"/>
          <w:sz w:val="32"/>
          <w:szCs w:val="32"/>
        </w:rPr>
        <w:t>1、财政拨款</w:t>
      </w:r>
      <w:r>
        <w:rPr>
          <w:rFonts w:ascii="Times New Roman" w:hAnsi="Times New Roman" w:eastAsia="仿宋_GB2312" w:cs="Times New Roman"/>
          <w:sz w:val="32"/>
          <w:szCs w:val="32"/>
        </w:rPr>
        <w:t>“</w:t>
      </w:r>
      <w:r>
        <w:rPr>
          <w:rFonts w:ascii="仿宋_GB2312" w:hAnsi="仿宋_GB2312"/>
          <w:sz w:val="32"/>
          <w:szCs w:val="32"/>
        </w:rPr>
        <w:t>三公</w:t>
      </w:r>
      <w:r>
        <w:rPr>
          <w:rFonts w:ascii="Times New Roman" w:hAnsi="Times New Roman" w:eastAsia="仿宋_GB2312" w:cs="Times New Roman"/>
          <w:sz w:val="32"/>
          <w:szCs w:val="32"/>
        </w:rPr>
        <w:t>”</w:t>
      </w:r>
      <w:r>
        <w:rPr>
          <w:rFonts w:ascii="仿宋_GB2312" w:hAnsi="仿宋_GB2312"/>
          <w:sz w:val="32"/>
          <w:szCs w:val="32"/>
        </w:rPr>
        <w:t>经费支出决算总体情况说明</w:t>
      </w:r>
    </w:p>
    <w:p>
      <w:pPr>
        <w:autoSpaceDE w:val="0"/>
        <w:autoSpaceDN w:val="0"/>
        <w:adjustRightInd w:val="0"/>
        <w:spacing w:before="100" w:beforeAutospacing="1" w:after="100" w:afterAutospacing="1" w:line="580" w:lineRule="exact"/>
        <w:ind w:firstLine="600"/>
        <w:rPr>
          <w:rFonts w:ascii="仿宋" w:hAnsi="仿宋" w:eastAsia="仿宋" w:cs="Times New Roman"/>
          <w:color w:val="000000"/>
          <w:sz w:val="32"/>
          <w:szCs w:val="32"/>
        </w:rPr>
      </w:pPr>
      <w:r>
        <w:rPr>
          <w:rFonts w:ascii="仿宋" w:hAnsi="仿宋" w:eastAsia="仿宋"/>
          <w:color w:val="000000"/>
          <w:sz w:val="32"/>
          <w:szCs w:val="32"/>
        </w:rPr>
        <w:t>本部门2019年度财政拨款</w:t>
      </w:r>
      <w:r>
        <w:rPr>
          <w:rFonts w:ascii="仿宋" w:hAnsi="仿宋" w:eastAsia="仿宋" w:cs="Times New Roman"/>
          <w:color w:val="000000"/>
          <w:sz w:val="32"/>
          <w:szCs w:val="32"/>
        </w:rPr>
        <w:t>“</w:t>
      </w:r>
      <w:r>
        <w:rPr>
          <w:rFonts w:ascii="仿宋" w:hAnsi="仿宋" w:eastAsia="仿宋"/>
          <w:color w:val="000000"/>
          <w:sz w:val="32"/>
          <w:szCs w:val="32"/>
        </w:rPr>
        <w:t>三公</w:t>
      </w:r>
      <w:r>
        <w:rPr>
          <w:rFonts w:ascii="仿宋" w:hAnsi="仿宋" w:eastAsia="仿宋" w:cs="Times New Roman"/>
          <w:color w:val="000000"/>
          <w:sz w:val="32"/>
          <w:szCs w:val="32"/>
        </w:rPr>
        <w:t>”</w:t>
      </w:r>
      <w:r>
        <w:rPr>
          <w:rFonts w:ascii="仿宋" w:hAnsi="仿宋" w:eastAsia="仿宋"/>
          <w:color w:val="000000"/>
          <w:sz w:val="32"/>
          <w:szCs w:val="32"/>
        </w:rPr>
        <w:t>经费预算为103.00万元，支出决算为46.39万元，完成预算的45.00%，其中：因公出国（境）费预算为0.00万元，支出决算为0.00万元，完成预算的0.00%；公务用车购置及运行维护费预算为99.00万元，支出决算为46.39万元，完成预算的46.90%；公务接待费预算为4.00万元，支出决算为0.00万元，完成预算的0.00%。2019年度财政拨款</w:t>
      </w:r>
      <w:r>
        <w:rPr>
          <w:rFonts w:ascii="仿宋" w:hAnsi="仿宋" w:eastAsia="仿宋" w:cs="Times New Roman"/>
          <w:color w:val="000000"/>
          <w:sz w:val="32"/>
          <w:szCs w:val="32"/>
        </w:rPr>
        <w:t>“</w:t>
      </w:r>
      <w:r>
        <w:rPr>
          <w:rFonts w:ascii="仿宋" w:hAnsi="仿宋" w:eastAsia="仿宋"/>
          <w:color w:val="000000"/>
          <w:sz w:val="32"/>
          <w:szCs w:val="32"/>
        </w:rPr>
        <w:t>三公</w:t>
      </w:r>
      <w:r>
        <w:rPr>
          <w:rFonts w:ascii="仿宋" w:hAnsi="仿宋" w:eastAsia="仿宋" w:cs="Times New Roman"/>
          <w:color w:val="000000"/>
          <w:sz w:val="32"/>
          <w:szCs w:val="32"/>
        </w:rPr>
        <w:t>”</w:t>
      </w:r>
      <w:r>
        <w:rPr>
          <w:rFonts w:ascii="仿宋" w:hAnsi="仿宋" w:eastAsia="仿宋"/>
          <w:color w:val="000000"/>
          <w:sz w:val="32"/>
          <w:szCs w:val="32"/>
        </w:rPr>
        <w:t>经费支出决算与预算差异情况的原因：本单位公车执法平台车辆存在空编，未全部招满；本单位2019年没有接待任务。</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ascii="仿宋_GB2312" w:hAnsi="Times New Roman"/>
          <w:sz w:val="32"/>
          <w:szCs w:val="32"/>
        </w:rPr>
        <w:t>2、财政拨款</w:t>
      </w:r>
      <w:r>
        <w:rPr>
          <w:rFonts w:ascii="Times New Roman" w:hAnsi="Times New Roman" w:eastAsia="仿宋_GB2312" w:cs="Times New Roman"/>
          <w:sz w:val="32"/>
          <w:szCs w:val="32"/>
        </w:rPr>
        <w:t>“</w:t>
      </w:r>
      <w:r>
        <w:rPr>
          <w:rFonts w:ascii="仿宋_GB2312" w:hAnsi="仿宋_GB2312"/>
          <w:sz w:val="32"/>
          <w:szCs w:val="32"/>
        </w:rPr>
        <w:t>三公</w:t>
      </w:r>
      <w:r>
        <w:rPr>
          <w:rFonts w:ascii="Times New Roman" w:hAnsi="Times New Roman" w:eastAsia="仿宋_GB2312" w:cs="Times New Roman"/>
          <w:sz w:val="32"/>
          <w:szCs w:val="32"/>
        </w:rPr>
        <w:t>”</w:t>
      </w:r>
      <w:r>
        <w:rPr>
          <w:rFonts w:ascii="仿宋_GB2312" w:hAnsi="仿宋_GB2312"/>
          <w:sz w:val="32"/>
          <w:szCs w:val="32"/>
        </w:rPr>
        <w:t>经费支出决算具体情况说明</w:t>
      </w:r>
    </w:p>
    <w:p>
      <w:pPr>
        <w:autoSpaceDE w:val="0"/>
        <w:autoSpaceDN w:val="0"/>
        <w:adjustRightInd w:val="0"/>
        <w:spacing w:before="100" w:beforeAutospacing="1" w:after="100" w:afterAutospacing="1" w:line="580" w:lineRule="exact"/>
        <w:ind w:firstLine="600"/>
        <w:rPr>
          <w:rFonts w:ascii="仿宋" w:hAnsi="仿宋" w:eastAsia="仿宋" w:cs="Times New Roman"/>
          <w:color w:val="000000"/>
          <w:sz w:val="32"/>
          <w:szCs w:val="32"/>
        </w:rPr>
      </w:pPr>
      <w:r>
        <w:rPr>
          <w:rFonts w:ascii="仿宋" w:hAnsi="仿宋" w:eastAsia="仿宋"/>
          <w:color w:val="000000"/>
          <w:sz w:val="32"/>
          <w:szCs w:val="32"/>
        </w:rPr>
        <w:t>本部门2019年度财政拨款</w:t>
      </w:r>
      <w:r>
        <w:rPr>
          <w:rFonts w:ascii="仿宋" w:hAnsi="仿宋" w:eastAsia="仿宋" w:cs="Times New Roman"/>
          <w:color w:val="000000"/>
          <w:sz w:val="32"/>
          <w:szCs w:val="32"/>
        </w:rPr>
        <w:t>“</w:t>
      </w:r>
      <w:r>
        <w:rPr>
          <w:rFonts w:ascii="仿宋" w:hAnsi="仿宋" w:eastAsia="仿宋"/>
          <w:color w:val="000000"/>
          <w:sz w:val="32"/>
          <w:szCs w:val="32"/>
        </w:rPr>
        <w:t>三公</w:t>
      </w:r>
      <w:r>
        <w:rPr>
          <w:rFonts w:ascii="仿宋" w:hAnsi="仿宋" w:eastAsia="仿宋" w:cs="Times New Roman"/>
          <w:color w:val="000000"/>
          <w:sz w:val="32"/>
          <w:szCs w:val="32"/>
        </w:rPr>
        <w:t>”</w:t>
      </w:r>
      <w:r>
        <w:rPr>
          <w:rFonts w:ascii="仿宋" w:hAnsi="仿宋" w:eastAsia="仿宋"/>
          <w:color w:val="000000"/>
          <w:sz w:val="32"/>
          <w:szCs w:val="32"/>
        </w:rPr>
        <w:t>经费支出46.39万元，因公出国（境）费支出0.00万元，占0.00%；公务用车购置及运行维护费支出46.39万元，占100.00%；公务接待费支出0.00万元，占0.00%。具体情况如下：</w:t>
      </w:r>
    </w:p>
    <w:p>
      <w:pPr>
        <w:autoSpaceDE w:val="0"/>
        <w:autoSpaceDN w:val="0"/>
        <w:adjustRightInd w:val="0"/>
        <w:spacing w:before="100" w:beforeAutospacing="1" w:after="100" w:afterAutospacing="1" w:line="580" w:lineRule="exact"/>
        <w:ind w:firstLine="600"/>
        <w:rPr>
          <w:rFonts w:hint="eastAsia" w:ascii="仿宋_GB2312" w:hAnsi="仿宋_GB2312"/>
          <w:b/>
          <w:bCs/>
          <w:color w:val="000000"/>
          <w:sz w:val="32"/>
          <w:szCs w:val="32"/>
        </w:rPr>
      </w:pPr>
    </w:p>
    <w:p>
      <w:pPr>
        <w:autoSpaceDE w:val="0"/>
        <w:autoSpaceDN w:val="0"/>
        <w:adjustRightInd w:val="0"/>
        <w:spacing w:before="100" w:beforeAutospacing="1" w:after="100" w:afterAutospacing="1" w:line="580" w:lineRule="exact"/>
        <w:ind w:firstLine="600"/>
        <w:rPr>
          <w:rFonts w:ascii="仿宋" w:hAnsi="仿宋" w:eastAsia="仿宋" w:cs="Times New Roman"/>
          <w:color w:val="000000"/>
          <w:sz w:val="32"/>
          <w:szCs w:val="32"/>
        </w:rPr>
      </w:pPr>
      <w:r>
        <w:rPr>
          <w:rFonts w:ascii="仿宋" w:hAnsi="仿宋" w:eastAsia="仿宋"/>
          <w:b/>
          <w:bCs/>
          <w:color w:val="000000"/>
          <w:sz w:val="32"/>
          <w:szCs w:val="32"/>
        </w:rPr>
        <w:t>因公出国（境）费支出</w:t>
      </w:r>
      <w:r>
        <w:rPr>
          <w:rFonts w:ascii="仿宋" w:hAnsi="仿宋" w:eastAsia="仿宋"/>
          <w:color w:val="000000"/>
          <w:sz w:val="32"/>
          <w:szCs w:val="32"/>
        </w:rPr>
        <w:t>0.00万元。全年因公出国（境）团组0个，累计0人次。较上年增加0.00万元，主要原因是本单位无此类支出。</w:t>
      </w:r>
    </w:p>
    <w:p>
      <w:pPr>
        <w:autoSpaceDE w:val="0"/>
        <w:autoSpaceDN w:val="0"/>
        <w:adjustRightInd w:val="0"/>
        <w:spacing w:before="100" w:beforeAutospacing="1" w:after="100" w:afterAutospacing="1" w:line="580" w:lineRule="exact"/>
        <w:ind w:firstLine="600"/>
        <w:rPr>
          <w:rFonts w:ascii="仿宋" w:hAnsi="仿宋" w:eastAsia="仿宋" w:cs="Times New Roman"/>
          <w:color w:val="000000"/>
          <w:sz w:val="32"/>
          <w:szCs w:val="32"/>
        </w:rPr>
      </w:pPr>
      <w:r>
        <w:rPr>
          <w:rFonts w:ascii="仿宋" w:hAnsi="仿宋" w:eastAsia="仿宋"/>
          <w:b/>
          <w:bCs/>
          <w:color w:val="000000"/>
          <w:sz w:val="32"/>
          <w:szCs w:val="32"/>
        </w:rPr>
        <w:t>公务用车购置及运行维护费支出</w:t>
      </w:r>
      <w:r>
        <w:rPr>
          <w:rFonts w:ascii="仿宋" w:hAnsi="仿宋" w:eastAsia="仿宋"/>
          <w:color w:val="000000"/>
          <w:sz w:val="32"/>
          <w:szCs w:val="32"/>
        </w:rPr>
        <w:t>46.39万元。其中：公务用车购置支出0.00万元，车均购置费0.00万元，较上年增加0.00万元，主要原因是本单位无此类支出。公务用车运行维护费支出46.39万元，用于本单位及公车执法平台车辆运行维护费，车均运维费3.57万元，较上年增加46.39万元，主要原因是本单位首次作为主管部门进行决算公开，财政拨款开支的公务用车保有量为13辆。</w:t>
      </w:r>
    </w:p>
    <w:p>
      <w:pPr>
        <w:autoSpaceDE w:val="0"/>
        <w:autoSpaceDN w:val="0"/>
        <w:adjustRightInd w:val="0"/>
        <w:spacing w:before="100" w:beforeAutospacing="1" w:after="100" w:afterAutospacing="1" w:line="580" w:lineRule="exact"/>
        <w:ind w:firstLine="600"/>
        <w:rPr>
          <w:rFonts w:ascii="仿宋" w:hAnsi="仿宋" w:eastAsia="仿宋" w:cs="Times New Roman"/>
          <w:color w:val="000000"/>
          <w:sz w:val="32"/>
          <w:szCs w:val="32"/>
        </w:rPr>
      </w:pPr>
      <w:r>
        <w:rPr>
          <w:rFonts w:ascii="仿宋" w:hAnsi="仿宋" w:eastAsia="仿宋"/>
          <w:b/>
          <w:bCs/>
          <w:color w:val="000000"/>
          <w:sz w:val="32"/>
          <w:szCs w:val="32"/>
        </w:rPr>
        <w:t>公务接待费支出</w:t>
      </w:r>
      <w:r>
        <w:rPr>
          <w:rFonts w:ascii="仿宋" w:hAnsi="仿宋" w:eastAsia="仿宋"/>
          <w:color w:val="000000"/>
          <w:sz w:val="32"/>
          <w:szCs w:val="32"/>
        </w:rPr>
        <w:t>0.00万元。其中：国内公务接待费0.00万元，接待0批次，共接待0人次。国（境）外接待费0.00万元，接待0批次，共接待0人次。较上年增加0.00万元，主要原因是本单位2019年 无接待任务。</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ascii="仿宋_GB2312" w:hAnsi="仿宋_GB2312"/>
          <w:sz w:val="32"/>
          <w:szCs w:val="32"/>
        </w:rPr>
        <w:t>三、预算绩效情况说明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ascii="仿宋_GB2312" w:hAnsi="仿宋_GB2312"/>
          <w:sz w:val="32"/>
          <w:szCs w:val="32"/>
        </w:rPr>
        <w:t>（一）预算绩效管理工作开展情况</w:t>
      </w:r>
    </w:p>
    <w:p>
      <w:pPr>
        <w:autoSpaceDE w:val="0"/>
        <w:autoSpaceDN w:val="0"/>
        <w:adjustRightInd w:val="0"/>
        <w:spacing w:before="100" w:beforeAutospacing="1" w:after="100" w:afterAutospacing="1" w:line="580" w:lineRule="exact"/>
        <w:ind w:firstLine="600"/>
        <w:rPr>
          <w:rFonts w:ascii="仿宋" w:hAnsi="仿宋" w:eastAsia="仿宋"/>
          <w:color w:val="000000"/>
          <w:sz w:val="32"/>
          <w:szCs w:val="32"/>
        </w:rPr>
      </w:pPr>
      <w:r>
        <w:rPr>
          <w:rFonts w:ascii="仿宋" w:hAnsi="仿宋" w:eastAsia="仿宋"/>
          <w:color w:val="000000"/>
          <w:sz w:val="32"/>
          <w:szCs w:val="32"/>
        </w:rPr>
        <w:t>我单位认真贯彻落实预算绩效管理方面的规定，通过科学规范制定管理制度，有效的加强了预算绩效管理；围绕“预算编制有目标、预算执行有监控、预算完成有评价、预算结果有反馈、反馈结果有应用”开展工作，突出预算绩效管理，提高资金使用效率。2019年，我单位预算绩效项目3个，项目分别为：公共机构节能项目、人大会议室改造项目、政协会议室改造项目。公共机构节能和人大会议室改造项目，已按计划、按进度实施，基本上达到了预期效果，资金使用到位，取得良好的社会效益；</w:t>
      </w:r>
      <w:r>
        <w:rPr>
          <w:rFonts w:ascii="仿宋" w:hAnsi="仿宋" w:eastAsia="仿宋"/>
          <w:sz w:val="32"/>
          <w:szCs w:val="32"/>
        </w:rPr>
        <w:t>政协会议室改造项目，因2019年未开工，无法对该项目进行自评。</w:t>
      </w:r>
    </w:p>
    <w:p>
      <w:pPr>
        <w:autoSpaceDE w:val="0"/>
        <w:autoSpaceDN w:val="0"/>
        <w:adjustRightInd w:val="0"/>
        <w:spacing w:before="100" w:beforeAutospacing="1" w:after="100" w:afterAutospacing="1" w:line="580" w:lineRule="exact"/>
        <w:ind w:firstLine="640" w:firstLineChars="200"/>
        <w:rPr>
          <w:rFonts w:ascii="仿宋_GB2312" w:hAnsi="Times New Roman"/>
          <w:sz w:val="32"/>
          <w:szCs w:val="32"/>
        </w:rPr>
      </w:pPr>
      <w:r>
        <w:rPr>
          <w:rFonts w:ascii="仿宋_GB2312" w:hAnsi="仿宋_GB2312"/>
          <w:sz w:val="32"/>
          <w:szCs w:val="32"/>
        </w:rPr>
        <w:t>（二）部门决算中项目绩效自评结果</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rPr>
        <w:object>
          <v:shape id="_x0000_i1025" o:spt="75" type="#_x0000_t75" style="height:19.5pt;width:3pt;" o:ole="t" filled="f" o:preferrelative="t" stroked="f" coordsize="21600,21600">
            <v:path/>
            <v:fill on="f" focussize="0,0"/>
            <v:stroke on="f" joinstyle="miter"/>
            <v:imagedata r:id="rId5" o:title=""/>
            <o:lock v:ext="edit" aspectratio="t"/>
            <w10:wrap type="none"/>
            <w10:anchorlock/>
          </v:shape>
          <o:OLEObject Type="Embed" ProgID="Excel.Sheet.8" ShapeID="_x0000_i1025" DrawAspect="Content" ObjectID="_1468075725" r:id="rId4">
            <o:LockedField>false</o:LockedField>
          </o:OLEObject>
        </w:object>
      </w:r>
      <w:r>
        <w:rPr>
          <w:rFonts w:hint="eastAsia" w:ascii="仿宋" w:hAnsi="仿宋" w:eastAsia="仿宋" w:cs="仿宋"/>
          <w:sz w:val="32"/>
          <w:szCs w:val="32"/>
          <w:lang w:val="en-US" w:eastAsia="zh-CN"/>
        </w:rPr>
        <w:t>我单位2019年预算绩效项目3个，实施绩效自评两个，其中一个项目由于2019年未开工，无法进行项目自评。公共机构节能项目得分92分，等级优，圆满完成了2019年垃圾分类工作，达到了预期效果；人大会议室改造项目得分90分，等级优，</w:t>
      </w:r>
      <w:r>
        <w:rPr>
          <w:rFonts w:hint="eastAsia" w:ascii="仿宋" w:hAnsi="仿宋" w:eastAsia="仿宋" w:cs="仿宋"/>
          <w:color w:val="000000"/>
          <w:sz w:val="32"/>
          <w:szCs w:val="32"/>
        </w:rPr>
        <w:t>工程质量符合现行建筑工程质量验收合格标准，按设计要求和施工合同规定按时完工，满足全市人大工作会议需求</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政协会议室改造项目无法自评。</w:t>
      </w:r>
    </w:p>
    <w:tbl>
      <w:tblPr>
        <w:tblStyle w:val="2"/>
        <w:tblW w:w="11640" w:type="dxa"/>
        <w:tblInd w:w="93" w:type="dxa"/>
        <w:tblLayout w:type="autofit"/>
        <w:tblCellMar>
          <w:top w:w="0" w:type="dxa"/>
          <w:left w:w="108" w:type="dxa"/>
          <w:bottom w:w="0" w:type="dxa"/>
          <w:right w:w="108" w:type="dxa"/>
        </w:tblCellMar>
      </w:tblPr>
      <w:tblGrid>
        <w:gridCol w:w="396"/>
        <w:gridCol w:w="408"/>
        <w:gridCol w:w="399"/>
        <w:gridCol w:w="1034"/>
        <w:gridCol w:w="1196"/>
        <w:gridCol w:w="588"/>
        <w:gridCol w:w="576"/>
        <w:gridCol w:w="666"/>
        <w:gridCol w:w="271"/>
        <w:gridCol w:w="395"/>
        <w:gridCol w:w="384"/>
        <w:gridCol w:w="386"/>
        <w:gridCol w:w="846"/>
        <w:gridCol w:w="678"/>
        <w:gridCol w:w="756"/>
        <w:gridCol w:w="744"/>
        <w:gridCol w:w="1917"/>
      </w:tblGrid>
      <w:tr>
        <w:tblPrEx>
          <w:tblCellMar>
            <w:top w:w="0" w:type="dxa"/>
            <w:left w:w="108" w:type="dxa"/>
            <w:bottom w:w="0" w:type="dxa"/>
            <w:right w:w="108" w:type="dxa"/>
          </w:tblCellMar>
        </w:tblPrEx>
        <w:trPr>
          <w:trHeight w:val="405" w:hRule="atLeast"/>
        </w:trPr>
        <w:tc>
          <w:tcPr>
            <w:tcW w:w="8957" w:type="dxa"/>
            <w:gridSpan w:val="16"/>
            <w:tcBorders>
              <w:top w:val="nil"/>
              <w:left w:val="nil"/>
              <w:bottom w:val="nil"/>
              <w:right w:val="nil"/>
            </w:tcBorders>
            <w:shd w:val="clear" w:color="auto" w:fill="auto"/>
            <w:vAlign w:val="center"/>
          </w:tcPr>
          <w:p>
            <w:pPr>
              <w:jc w:val="center"/>
              <w:rPr>
                <w:rFonts w:ascii="黑体" w:hAnsi="黑体" w:eastAsia="黑体"/>
                <w:b/>
                <w:bCs/>
                <w:color w:val="000000"/>
                <w:sz w:val="32"/>
                <w:szCs w:val="32"/>
              </w:rPr>
            </w:pPr>
            <w:r>
              <w:rPr>
                <w:rFonts w:hint="eastAsia" w:ascii="黑体" w:hAnsi="黑体" w:eastAsia="黑体"/>
                <w:b/>
                <w:bCs/>
                <w:color w:val="000000"/>
                <w:sz w:val="32"/>
                <w:szCs w:val="32"/>
              </w:rPr>
              <w:t>2019年财政资金绩效评价自评信息表</w:t>
            </w:r>
          </w:p>
        </w:tc>
        <w:tc>
          <w:tcPr>
            <w:tcW w:w="2683" w:type="dxa"/>
            <w:tcBorders>
              <w:top w:val="nil"/>
              <w:left w:val="nil"/>
              <w:bottom w:val="nil"/>
              <w:right w:val="nil"/>
            </w:tcBorders>
            <w:shd w:val="clear" w:color="auto" w:fill="auto"/>
            <w:vAlign w:val="center"/>
          </w:tcPr>
          <w:p>
            <w:pPr>
              <w:rPr>
                <w:rFonts w:ascii="黑体" w:hAnsi="黑体" w:eastAsia="黑体"/>
                <w:b/>
                <w:bCs/>
                <w:color w:val="000000"/>
                <w:sz w:val="32"/>
                <w:szCs w:val="32"/>
              </w:rPr>
            </w:pPr>
          </w:p>
        </w:tc>
      </w:tr>
      <w:tr>
        <w:tblPrEx>
          <w:tblCellMar>
            <w:top w:w="0" w:type="dxa"/>
            <w:left w:w="108" w:type="dxa"/>
            <w:bottom w:w="0" w:type="dxa"/>
            <w:right w:w="108" w:type="dxa"/>
          </w:tblCellMar>
        </w:tblPrEx>
        <w:trPr>
          <w:trHeight w:val="204" w:hRule="atLeast"/>
        </w:trPr>
        <w:tc>
          <w:tcPr>
            <w:tcW w:w="11640" w:type="dxa"/>
            <w:gridSpan w:val="17"/>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285" w:hRule="atLeast"/>
        </w:trPr>
        <w:tc>
          <w:tcPr>
            <w:tcW w:w="8957" w:type="dxa"/>
            <w:gridSpan w:val="16"/>
            <w:tcBorders>
              <w:top w:val="nil"/>
              <w:left w:val="nil"/>
              <w:bottom w:val="nil"/>
              <w:right w:val="nil"/>
            </w:tcBorders>
            <w:shd w:val="clear" w:color="auto" w:fill="auto"/>
            <w:vAlign w:val="center"/>
          </w:tcPr>
          <w:p>
            <w:pPr>
              <w:rPr>
                <w:color w:val="000000"/>
                <w:sz w:val="18"/>
                <w:szCs w:val="18"/>
              </w:rPr>
            </w:pPr>
            <w:r>
              <w:rPr>
                <w:rFonts w:hint="eastAsia"/>
                <w:color w:val="000000"/>
                <w:sz w:val="18"/>
                <w:szCs w:val="18"/>
              </w:rPr>
              <w:t>编制单位：呼伦贝尔市机关事务管理局机关</w:t>
            </w:r>
          </w:p>
        </w:tc>
        <w:tc>
          <w:tcPr>
            <w:tcW w:w="2683" w:type="dxa"/>
            <w:tcBorders>
              <w:top w:val="nil"/>
              <w:left w:val="nil"/>
              <w:bottom w:val="nil"/>
              <w:right w:val="nil"/>
            </w:tcBorders>
            <w:shd w:val="clear" w:color="auto" w:fill="auto"/>
            <w:vAlign w:val="center"/>
          </w:tcPr>
          <w:p>
            <w:pPr>
              <w:rPr>
                <w:color w:val="000000"/>
                <w:sz w:val="18"/>
                <w:szCs w:val="18"/>
              </w:rPr>
            </w:pPr>
          </w:p>
        </w:tc>
      </w:tr>
      <w:tr>
        <w:tblPrEx>
          <w:tblCellMar>
            <w:top w:w="0" w:type="dxa"/>
            <w:left w:w="108" w:type="dxa"/>
            <w:bottom w:w="0" w:type="dxa"/>
            <w:right w:w="108" w:type="dxa"/>
          </w:tblCellMar>
        </w:tblPrEx>
        <w:trPr>
          <w:trHeight w:val="408" w:hRule="atLeast"/>
        </w:trPr>
        <w:tc>
          <w:tcPr>
            <w:tcW w:w="8957" w:type="dxa"/>
            <w:gridSpan w:val="16"/>
            <w:tcBorders>
              <w:top w:val="nil"/>
              <w:left w:val="nil"/>
              <w:bottom w:val="single" w:color="000000" w:sz="4" w:space="0"/>
              <w:right w:val="nil"/>
            </w:tcBorders>
            <w:shd w:val="clear" w:color="auto" w:fill="auto"/>
            <w:vAlign w:val="center"/>
          </w:tcPr>
          <w:p>
            <w:pPr>
              <w:jc w:val="center"/>
              <w:rPr>
                <w:b/>
                <w:bCs/>
                <w:color w:val="000000"/>
                <w:sz w:val="18"/>
                <w:szCs w:val="18"/>
              </w:rPr>
            </w:pPr>
            <w:r>
              <w:rPr>
                <w:rFonts w:hint="eastAsia"/>
                <w:b/>
                <w:bCs/>
                <w:color w:val="000000"/>
                <w:sz w:val="18"/>
                <w:szCs w:val="18"/>
              </w:rPr>
              <w:t>一、项目基本情况</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285"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项目名称</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公共机构节能经费</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285"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项目负责人</w:t>
            </w:r>
          </w:p>
        </w:tc>
        <w:tc>
          <w:tcPr>
            <w:tcW w:w="4310" w:type="dxa"/>
            <w:gridSpan w:val="7"/>
            <w:tcBorders>
              <w:top w:val="single" w:color="000000" w:sz="4" w:space="0"/>
              <w:left w:val="single" w:color="000000" w:sz="4" w:space="0"/>
              <w:bottom w:val="single" w:color="000000" w:sz="4" w:space="0"/>
              <w:right w:val="nil"/>
            </w:tcBorders>
            <w:shd w:val="clear" w:color="auto" w:fill="auto"/>
            <w:vAlign w:val="center"/>
          </w:tcPr>
          <w:p>
            <w:pPr>
              <w:rPr>
                <w:color w:val="000000"/>
                <w:sz w:val="18"/>
                <w:szCs w:val="18"/>
              </w:rPr>
            </w:pPr>
            <w:r>
              <w:rPr>
                <w:rFonts w:hint="eastAsia"/>
                <w:color w:val="000000"/>
                <w:sz w:val="18"/>
                <w:szCs w:val="18"/>
              </w:rPr>
              <w:t>刘荣岭</w:t>
            </w:r>
          </w:p>
        </w:tc>
        <w:tc>
          <w:tcPr>
            <w:tcW w:w="14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联系电话</w:t>
            </w:r>
          </w:p>
        </w:tc>
        <w:tc>
          <w:tcPr>
            <w:tcW w:w="2033" w:type="dxa"/>
            <w:gridSpan w:val="3"/>
            <w:tcBorders>
              <w:top w:val="single" w:color="000000" w:sz="4" w:space="0"/>
              <w:left w:val="nil"/>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15804705566</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285"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单位财务</w:t>
            </w:r>
          </w:p>
        </w:tc>
        <w:tc>
          <w:tcPr>
            <w:tcW w:w="4310"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高剑英</w:t>
            </w:r>
          </w:p>
        </w:tc>
        <w:tc>
          <w:tcPr>
            <w:tcW w:w="145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财务联系电话</w:t>
            </w:r>
          </w:p>
        </w:tc>
        <w:tc>
          <w:tcPr>
            <w:tcW w:w="203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15804705566</w:t>
            </w: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735"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项目类别</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商品和服务支出</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285"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项目类型</w:t>
            </w:r>
          </w:p>
        </w:tc>
        <w:tc>
          <w:tcPr>
            <w:tcW w:w="431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新增项目</w:t>
            </w:r>
          </w:p>
        </w:tc>
        <w:tc>
          <w:tcPr>
            <w:tcW w:w="14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项目口径</w:t>
            </w:r>
          </w:p>
        </w:tc>
        <w:tc>
          <w:tcPr>
            <w:tcW w:w="203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经常性</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285"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项目依据</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中央和自治区党委政府确定的项目</w:t>
            </w: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285"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项目属性</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专项资金</w:t>
            </w: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360"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项目计划实施时间</w:t>
            </w:r>
          </w:p>
        </w:tc>
        <w:tc>
          <w:tcPr>
            <w:tcW w:w="7796" w:type="dxa"/>
            <w:gridSpan w:val="13"/>
            <w:tcBorders>
              <w:top w:val="single" w:color="000000" w:sz="4" w:space="0"/>
              <w:left w:val="single" w:color="000000" w:sz="4" w:space="0"/>
              <w:bottom w:val="nil"/>
              <w:right w:val="single" w:color="000000" w:sz="4" w:space="0"/>
            </w:tcBorders>
            <w:shd w:val="clear" w:color="auto" w:fill="auto"/>
            <w:vAlign w:val="center"/>
          </w:tcPr>
          <w:p>
            <w:pPr>
              <w:rPr>
                <w:color w:val="000000"/>
                <w:sz w:val="18"/>
                <w:szCs w:val="18"/>
              </w:rPr>
            </w:pPr>
            <w:r>
              <w:rPr>
                <w:rFonts w:hint="eastAsia"/>
                <w:color w:val="000000"/>
                <w:sz w:val="18"/>
                <w:szCs w:val="18"/>
              </w:rPr>
              <w:t xml:space="preserve"> 至 </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339"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项目实际实施时间</w:t>
            </w:r>
          </w:p>
        </w:tc>
        <w:tc>
          <w:tcPr>
            <w:tcW w:w="7796" w:type="dxa"/>
            <w:gridSpan w:val="13"/>
            <w:tcBorders>
              <w:top w:val="single" w:color="000000" w:sz="4" w:space="0"/>
              <w:left w:val="single" w:color="000000" w:sz="4" w:space="0"/>
              <w:bottom w:val="nil"/>
              <w:right w:val="single" w:color="000000" w:sz="4" w:space="0"/>
            </w:tcBorders>
            <w:shd w:val="clear" w:color="auto" w:fill="auto"/>
            <w:vAlign w:val="center"/>
          </w:tcPr>
          <w:p>
            <w:pPr>
              <w:rPr>
                <w:color w:val="000000"/>
                <w:sz w:val="18"/>
                <w:szCs w:val="18"/>
              </w:rPr>
            </w:pPr>
            <w:r>
              <w:rPr>
                <w:rFonts w:hint="eastAsia"/>
                <w:color w:val="000000"/>
                <w:sz w:val="18"/>
                <w:szCs w:val="18"/>
              </w:rPr>
              <w:t xml:space="preserve"> 2019-07-01至 2019-12-31</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312"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项目自评价时间</w:t>
            </w:r>
          </w:p>
        </w:tc>
        <w:tc>
          <w:tcPr>
            <w:tcW w:w="7796" w:type="dxa"/>
            <w:gridSpan w:val="13"/>
            <w:tcBorders>
              <w:top w:val="single" w:color="000000" w:sz="4" w:space="0"/>
              <w:left w:val="single" w:color="000000" w:sz="4" w:space="0"/>
              <w:bottom w:val="nil"/>
              <w:right w:val="single" w:color="000000" w:sz="4" w:space="0"/>
            </w:tcBorders>
            <w:shd w:val="clear" w:color="auto" w:fill="auto"/>
            <w:vAlign w:val="center"/>
          </w:tcPr>
          <w:p>
            <w:pPr>
              <w:rPr>
                <w:color w:val="000000"/>
                <w:sz w:val="18"/>
                <w:szCs w:val="18"/>
              </w:rPr>
            </w:pPr>
            <w:r>
              <w:rPr>
                <w:rFonts w:hint="eastAsia"/>
                <w:color w:val="000000"/>
                <w:sz w:val="18"/>
                <w:szCs w:val="18"/>
              </w:rPr>
              <w:t xml:space="preserve"> 2019-01-01至 2019-12-31</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40"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项目申请原因（包括设立依据、可行性及必要性）</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公共机构节能经费</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40"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项目内容</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按照自治区相关文件要求，将公共机构节能经费列入预算考核得10分。</w:t>
            </w: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1440"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项目概况</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按照自治区相关文件要求，将公共机构节能经费列入预算考核得10分。</w:t>
            </w: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1440" w:hRule="atLeast"/>
        </w:trPr>
        <w:tc>
          <w:tcPr>
            <w:tcW w:w="34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项目绩效目标</w:t>
            </w:r>
          </w:p>
        </w:tc>
        <w:tc>
          <w:tcPr>
            <w:tcW w:w="8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总目标完成情况</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圆满完成垃圾分类、节能培训、节能宣传周工作目标，由于培训次数减少、机票降价等因素差旅费有结余，能耗审计由于没有完成招投标工作，暂时没有开展。预算结余8.44万元。</w:t>
            </w: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1440" w:hRule="atLeast"/>
        </w:trPr>
        <w:tc>
          <w:tcPr>
            <w:tcW w:w="347"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8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阶段性目标完成情况</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圆满完成垃圾分类、节能培训、节能宣传周工作目标，由于培训次数减少、机票降价等因素差旅费有结余，能耗审计由于没有完成招投标工作，暂时没有开展。预算结余8.44万元。</w:t>
            </w: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1440" w:hRule="atLeast"/>
        </w:trPr>
        <w:tc>
          <w:tcPr>
            <w:tcW w:w="34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阶段性目标完成情况</w:t>
            </w:r>
          </w:p>
        </w:tc>
        <w:tc>
          <w:tcPr>
            <w:tcW w:w="8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前期准备</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参加自治区培训，去已完成地区参观学习，实地调研。</w:t>
            </w: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1440" w:hRule="atLeast"/>
        </w:trPr>
        <w:tc>
          <w:tcPr>
            <w:tcW w:w="347"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8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组织实施</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于三个办公区物业公司共同拿出可行方案，完成垃圾分类工作。</w:t>
            </w: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1440" w:hRule="atLeast"/>
        </w:trPr>
        <w:tc>
          <w:tcPr>
            <w:tcW w:w="347"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8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分析评价</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圆满完成垃圾分类工作。</w:t>
            </w: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600" w:hRule="atLeast"/>
        </w:trPr>
        <w:tc>
          <w:tcPr>
            <w:tcW w:w="8957" w:type="dxa"/>
            <w:gridSpan w:val="16"/>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b/>
                <w:bCs/>
                <w:color w:val="000000"/>
                <w:sz w:val="18"/>
                <w:szCs w:val="18"/>
              </w:rPr>
            </w:pPr>
            <w:r>
              <w:rPr>
                <w:rFonts w:hint="eastAsia"/>
                <w:b/>
                <w:bCs/>
                <w:color w:val="000000"/>
                <w:sz w:val="18"/>
                <w:szCs w:val="18"/>
              </w:rPr>
              <w:t>二、项目资金情况</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40"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申请资金(万元)</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285" w:hRule="atLeast"/>
        </w:trPr>
        <w:tc>
          <w:tcPr>
            <w:tcW w:w="1161"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项目资金来源</w:t>
            </w:r>
          </w:p>
        </w:tc>
        <w:tc>
          <w:tcPr>
            <w:tcW w:w="223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资金来源</w:t>
            </w:r>
          </w:p>
        </w:tc>
        <w:tc>
          <w:tcPr>
            <w:tcW w:w="9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上年结转(万元)</w:t>
            </w:r>
          </w:p>
        </w:tc>
        <w:tc>
          <w:tcPr>
            <w:tcW w:w="109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当年安排资金(万元)</w:t>
            </w:r>
          </w:p>
        </w:tc>
        <w:tc>
          <w:tcPr>
            <w:tcW w:w="145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实际到位</w:t>
            </w:r>
          </w:p>
        </w:tc>
        <w:tc>
          <w:tcPr>
            <w:tcW w:w="12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实际支出</w:t>
            </w:r>
          </w:p>
        </w:tc>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结转结余金额(万元)</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580" w:hRule="atLeast"/>
        </w:trPr>
        <w:tc>
          <w:tcPr>
            <w:tcW w:w="1161"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批复金额(万元)</w:t>
            </w:r>
          </w:p>
        </w:tc>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实际金额(万元)</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批复金额(万元)</w:t>
            </w:r>
          </w:p>
        </w:tc>
        <w:tc>
          <w:tcPr>
            <w:tcW w:w="5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实际金额(万元)</w:t>
            </w:r>
          </w:p>
        </w:tc>
        <w:tc>
          <w:tcPr>
            <w:tcW w:w="7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金额(万元)</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到位率（%）</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金额(万元)</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支出实现率（%）</w:t>
            </w:r>
          </w:p>
        </w:tc>
        <w:tc>
          <w:tcPr>
            <w:tcW w:w="779"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nil"/>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合计</w:t>
            </w:r>
          </w:p>
        </w:tc>
        <w:tc>
          <w:tcPr>
            <w:tcW w:w="5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3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3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19.00</w:t>
            </w:r>
          </w:p>
        </w:tc>
        <w:tc>
          <w:tcPr>
            <w:tcW w:w="56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19.00</w:t>
            </w:r>
          </w:p>
        </w:tc>
        <w:tc>
          <w:tcPr>
            <w:tcW w:w="79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19.00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100.00%</w:t>
            </w:r>
          </w:p>
        </w:tc>
        <w:tc>
          <w:tcPr>
            <w:tcW w:w="6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10.56</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55.58%</w:t>
            </w: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8.44</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color w:val="000000"/>
                <w:sz w:val="22"/>
                <w:szCs w:val="22"/>
              </w:rPr>
            </w:pPr>
            <w:r>
              <w:rPr>
                <w:rFonts w:hint="eastAsia"/>
                <w:color w:val="000000"/>
                <w:sz w:val="22"/>
                <w:szCs w:val="22"/>
              </w:rPr>
              <w:t>公共财政预算管理资金</w:t>
            </w:r>
          </w:p>
        </w:tc>
        <w:tc>
          <w:tcPr>
            <w:tcW w:w="5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3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3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19.00</w:t>
            </w:r>
          </w:p>
        </w:tc>
        <w:tc>
          <w:tcPr>
            <w:tcW w:w="56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19.00</w:t>
            </w:r>
          </w:p>
        </w:tc>
        <w:tc>
          <w:tcPr>
            <w:tcW w:w="79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19.00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100.00%</w:t>
            </w:r>
          </w:p>
        </w:tc>
        <w:tc>
          <w:tcPr>
            <w:tcW w:w="6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10.56</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55.58%</w:t>
            </w: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84400</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color w:val="000000"/>
                <w:sz w:val="22"/>
                <w:szCs w:val="22"/>
              </w:rPr>
            </w:pPr>
            <w:r>
              <w:rPr>
                <w:rFonts w:hint="eastAsia"/>
                <w:color w:val="000000"/>
                <w:sz w:val="22"/>
                <w:szCs w:val="22"/>
              </w:rPr>
              <w:t>政府性资金预算资金</w:t>
            </w:r>
          </w:p>
        </w:tc>
        <w:tc>
          <w:tcPr>
            <w:tcW w:w="5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3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3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6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9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6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color w:val="000000"/>
                <w:sz w:val="22"/>
                <w:szCs w:val="22"/>
              </w:rPr>
            </w:pPr>
            <w:r>
              <w:rPr>
                <w:rFonts w:hint="eastAsia"/>
                <w:color w:val="000000"/>
                <w:sz w:val="22"/>
                <w:szCs w:val="22"/>
              </w:rPr>
              <w:t>国有资本经营预算资金</w:t>
            </w:r>
          </w:p>
        </w:tc>
        <w:tc>
          <w:tcPr>
            <w:tcW w:w="5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3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3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6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9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6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color w:val="000000"/>
                <w:sz w:val="22"/>
                <w:szCs w:val="22"/>
              </w:rPr>
            </w:pPr>
            <w:r>
              <w:rPr>
                <w:rFonts w:hint="eastAsia"/>
                <w:color w:val="000000"/>
                <w:sz w:val="22"/>
                <w:szCs w:val="22"/>
              </w:rPr>
              <w:t>社会保险基本预算资金</w:t>
            </w:r>
          </w:p>
        </w:tc>
        <w:tc>
          <w:tcPr>
            <w:tcW w:w="5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3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3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6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9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6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color w:val="000000"/>
                <w:sz w:val="22"/>
                <w:szCs w:val="22"/>
              </w:rPr>
            </w:pPr>
            <w:r>
              <w:rPr>
                <w:rFonts w:hint="eastAsia"/>
                <w:color w:val="000000"/>
                <w:sz w:val="22"/>
                <w:szCs w:val="22"/>
              </w:rPr>
              <w:t>其他资金</w:t>
            </w:r>
          </w:p>
        </w:tc>
        <w:tc>
          <w:tcPr>
            <w:tcW w:w="5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3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3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6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9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6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color w:val="000000"/>
                <w:sz w:val="22"/>
                <w:szCs w:val="22"/>
              </w:rPr>
            </w:pPr>
            <w:r>
              <w:rPr>
                <w:rFonts w:hint="eastAsia"/>
                <w:color w:val="000000"/>
                <w:sz w:val="22"/>
                <w:szCs w:val="22"/>
              </w:rPr>
              <w:t>旗市区拨款(本级)</w:t>
            </w:r>
          </w:p>
        </w:tc>
        <w:tc>
          <w:tcPr>
            <w:tcW w:w="5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3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3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6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9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6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color w:val="000000"/>
                <w:sz w:val="22"/>
                <w:szCs w:val="22"/>
              </w:rPr>
            </w:pPr>
            <w:r>
              <w:rPr>
                <w:rFonts w:hint="eastAsia"/>
                <w:color w:val="000000"/>
                <w:sz w:val="22"/>
                <w:szCs w:val="22"/>
              </w:rPr>
              <w:t>中央拨款</w:t>
            </w:r>
          </w:p>
        </w:tc>
        <w:tc>
          <w:tcPr>
            <w:tcW w:w="5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3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3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6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9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6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color w:val="000000"/>
                <w:sz w:val="22"/>
                <w:szCs w:val="22"/>
              </w:rPr>
            </w:pPr>
            <w:r>
              <w:rPr>
                <w:rFonts w:hint="eastAsia"/>
                <w:color w:val="000000"/>
                <w:sz w:val="22"/>
                <w:szCs w:val="22"/>
              </w:rPr>
              <w:t>自治区拨款</w:t>
            </w:r>
          </w:p>
        </w:tc>
        <w:tc>
          <w:tcPr>
            <w:tcW w:w="5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3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3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6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9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6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color w:val="000000"/>
                <w:sz w:val="22"/>
                <w:szCs w:val="22"/>
              </w:rPr>
            </w:pPr>
            <w:r>
              <w:rPr>
                <w:rFonts w:hint="eastAsia"/>
                <w:color w:val="000000"/>
                <w:sz w:val="22"/>
                <w:szCs w:val="22"/>
              </w:rPr>
              <w:t>预算资金(本级追加)</w:t>
            </w:r>
          </w:p>
        </w:tc>
        <w:tc>
          <w:tcPr>
            <w:tcW w:w="5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3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3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6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9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6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资金支出情况（万元)</w:t>
            </w:r>
          </w:p>
        </w:tc>
        <w:tc>
          <w:tcPr>
            <w:tcW w:w="2824" w:type="dxa"/>
            <w:gridSpan w:val="3"/>
            <w:tcBorders>
              <w:top w:val="nil"/>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支出明细内容</w:t>
            </w:r>
          </w:p>
        </w:tc>
        <w:tc>
          <w:tcPr>
            <w:tcW w:w="148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型号</w:t>
            </w:r>
          </w:p>
        </w:tc>
        <w:tc>
          <w:tcPr>
            <w:tcW w:w="145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计量单位</w:t>
            </w:r>
          </w:p>
        </w:tc>
        <w:tc>
          <w:tcPr>
            <w:tcW w:w="6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数量</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单价</w:t>
            </w: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总额</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82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合计</w:t>
            </w:r>
          </w:p>
        </w:tc>
        <w:tc>
          <w:tcPr>
            <w:tcW w:w="148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145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6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4.00</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10.56</w:t>
            </w: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10.56</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82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差旅费</w:t>
            </w:r>
          </w:p>
        </w:tc>
        <w:tc>
          <w:tcPr>
            <w:tcW w:w="148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无</w:t>
            </w:r>
          </w:p>
        </w:tc>
        <w:tc>
          <w:tcPr>
            <w:tcW w:w="145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无</w:t>
            </w:r>
          </w:p>
        </w:tc>
        <w:tc>
          <w:tcPr>
            <w:tcW w:w="6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1.04</w:t>
            </w: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1.04</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82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节能宣传周费用</w:t>
            </w:r>
          </w:p>
        </w:tc>
        <w:tc>
          <w:tcPr>
            <w:tcW w:w="148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无</w:t>
            </w:r>
          </w:p>
        </w:tc>
        <w:tc>
          <w:tcPr>
            <w:tcW w:w="145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无</w:t>
            </w:r>
          </w:p>
        </w:tc>
        <w:tc>
          <w:tcPr>
            <w:tcW w:w="6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2.43</w:t>
            </w: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2.43</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82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印刷费</w:t>
            </w:r>
          </w:p>
        </w:tc>
        <w:tc>
          <w:tcPr>
            <w:tcW w:w="148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无</w:t>
            </w:r>
          </w:p>
        </w:tc>
        <w:tc>
          <w:tcPr>
            <w:tcW w:w="145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无</w:t>
            </w:r>
          </w:p>
        </w:tc>
        <w:tc>
          <w:tcPr>
            <w:tcW w:w="6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2.50</w:t>
            </w: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2.50</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82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垃圾分类标识及购买垃圾桶</w:t>
            </w:r>
          </w:p>
        </w:tc>
        <w:tc>
          <w:tcPr>
            <w:tcW w:w="148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无</w:t>
            </w:r>
          </w:p>
        </w:tc>
        <w:tc>
          <w:tcPr>
            <w:tcW w:w="145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无</w:t>
            </w:r>
          </w:p>
        </w:tc>
        <w:tc>
          <w:tcPr>
            <w:tcW w:w="6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4.59</w:t>
            </w: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4.59</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200"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资金管理情况分析</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按照专项资金相关财务管理制度，在资金管理上进行独立核算、专款专用、不存在资金截留、挤占、挪用、虚列开支等情况。</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000"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备注</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540"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项目资金来源（全口径）</w:t>
            </w:r>
          </w:p>
        </w:tc>
        <w:tc>
          <w:tcPr>
            <w:tcW w:w="103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合计</w:t>
            </w:r>
          </w:p>
        </w:tc>
        <w:tc>
          <w:tcPr>
            <w:tcW w:w="11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19</w:t>
            </w:r>
          </w:p>
        </w:tc>
        <w:tc>
          <w:tcPr>
            <w:tcW w:w="5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中央拨款</w:t>
            </w:r>
          </w:p>
        </w:tc>
        <w:tc>
          <w:tcPr>
            <w:tcW w:w="390"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0</w:t>
            </w:r>
          </w:p>
        </w:tc>
        <w:tc>
          <w:tcPr>
            <w:tcW w:w="7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自治区拨款</w:t>
            </w:r>
          </w:p>
        </w:tc>
        <w:tc>
          <w:tcPr>
            <w:tcW w:w="77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0</w:t>
            </w:r>
          </w:p>
        </w:tc>
        <w:tc>
          <w:tcPr>
            <w:tcW w:w="105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市本级拨款</w:t>
            </w:r>
          </w:p>
        </w:tc>
        <w:tc>
          <w:tcPr>
            <w:tcW w:w="6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19.00</w:t>
            </w:r>
          </w:p>
        </w:tc>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其他（非本级）</w:t>
            </w: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0</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540" w:hRule="atLeast"/>
        </w:trPr>
        <w:tc>
          <w:tcPr>
            <w:tcW w:w="8957" w:type="dxa"/>
            <w:gridSpan w:val="16"/>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b/>
                <w:bCs/>
                <w:color w:val="000000"/>
                <w:sz w:val="18"/>
                <w:szCs w:val="18"/>
              </w:rPr>
            </w:pPr>
            <w:r>
              <w:rPr>
                <w:rFonts w:hint="eastAsia"/>
                <w:b/>
                <w:bCs/>
                <w:color w:val="000000"/>
                <w:sz w:val="18"/>
                <w:szCs w:val="18"/>
              </w:rPr>
              <w:t>三、绩效目标情况</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47"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一级指标</w:t>
            </w:r>
          </w:p>
        </w:tc>
        <w:tc>
          <w:tcPr>
            <w:tcW w:w="41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二级指标</w:t>
            </w:r>
          </w:p>
        </w:tc>
        <w:tc>
          <w:tcPr>
            <w:tcW w:w="4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权重</w:t>
            </w:r>
          </w:p>
        </w:tc>
        <w:tc>
          <w:tcPr>
            <w:tcW w:w="103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得分</w:t>
            </w:r>
          </w:p>
        </w:tc>
        <w:tc>
          <w:tcPr>
            <w:tcW w:w="11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 xml:space="preserve">得分(理由)依据 </w:t>
            </w:r>
          </w:p>
        </w:tc>
        <w:tc>
          <w:tcPr>
            <w:tcW w:w="1518"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预期目标</w:t>
            </w:r>
          </w:p>
        </w:tc>
        <w:tc>
          <w:tcPr>
            <w:tcW w:w="95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实际结果</w:t>
            </w:r>
          </w:p>
        </w:tc>
        <w:tc>
          <w:tcPr>
            <w:tcW w:w="105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指标说明</w:t>
            </w:r>
          </w:p>
        </w:tc>
        <w:tc>
          <w:tcPr>
            <w:tcW w:w="203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评分标准</w:t>
            </w: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产出指标</w:t>
            </w:r>
          </w:p>
        </w:tc>
        <w:tc>
          <w:tcPr>
            <w:tcW w:w="4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质量指标</w:t>
            </w:r>
          </w:p>
        </w:tc>
        <w:tc>
          <w:tcPr>
            <w:tcW w:w="4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13</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13.00</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严格按照实施方案执行</w:t>
            </w:r>
          </w:p>
        </w:tc>
        <w:tc>
          <w:tcPr>
            <w:tcW w:w="1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《内蒙古自治区公共机构节能领导小组办公室印发党政机关等公共机构生活垃圾强制分类实施方案》（内公节组办发〔2017〕5号）</w:t>
            </w:r>
          </w:p>
        </w:tc>
        <w:tc>
          <w:tcPr>
            <w:tcW w:w="95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严格按照实施方案执行</w:t>
            </w:r>
          </w:p>
        </w:tc>
        <w:tc>
          <w:tcPr>
            <w:tcW w:w="10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评价项目是否进行验收，验收情况。验收合格得满分，不合格0分</w:t>
            </w:r>
          </w:p>
        </w:tc>
        <w:tc>
          <w:tcPr>
            <w:tcW w:w="203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项目完成的质量验收情况，用以反映和考核项目产出质量目标的实现程度</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47"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数量指标</w:t>
            </w:r>
          </w:p>
        </w:tc>
        <w:tc>
          <w:tcPr>
            <w:tcW w:w="4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13</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13.00</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根据实际需要购买</w:t>
            </w:r>
          </w:p>
        </w:tc>
        <w:tc>
          <w:tcPr>
            <w:tcW w:w="1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三个集中办公区600个垃圾桶张贴标识，再购买100个分类回收垃圾桶</w:t>
            </w:r>
          </w:p>
        </w:tc>
        <w:tc>
          <w:tcPr>
            <w:tcW w:w="95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根据实际需要购买</w:t>
            </w:r>
          </w:p>
        </w:tc>
        <w:tc>
          <w:tcPr>
            <w:tcW w:w="10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 xml:space="preserve"> 实际产出数：一定时期（本年度或项目期）内项目实际产出的产品或提供的服务数量。 计划产出数：项目绩效目标确定的在一定时期（本年度或项目期）内计划产出的产品或提供的服务数量。实际完成率=（实际产出数/计划产出数）×100%。100%得满分，90%以上得指标分值的60%，80%以上得20%，低于80%得0分</w:t>
            </w:r>
          </w:p>
        </w:tc>
        <w:tc>
          <w:tcPr>
            <w:tcW w:w="203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项目实施的计划产出数，用以反映和考核项目产出数量目标的实现程度</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47"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时效指标</w:t>
            </w:r>
          </w:p>
        </w:tc>
        <w:tc>
          <w:tcPr>
            <w:tcW w:w="4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12</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12.00</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按照自治区要求的时限完成</w:t>
            </w:r>
          </w:p>
        </w:tc>
        <w:tc>
          <w:tcPr>
            <w:tcW w:w="1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按照自治区要求的时限完成</w:t>
            </w:r>
          </w:p>
        </w:tc>
        <w:tc>
          <w:tcPr>
            <w:tcW w:w="95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按照自治区要求的时限完成</w:t>
            </w:r>
          </w:p>
        </w:tc>
        <w:tc>
          <w:tcPr>
            <w:tcW w:w="10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完成及时率=[（计划完成时间-实际完成时间）/计划完成时间]×100%。 实际完成时间：项目实施单位完成该项目实际所耗用的时间。 计划完成时间：按照项目实施计划或相关规定完成该项目所需的时间。全部执行政府采购的得满分，应执行未执行的不得分。</w:t>
            </w:r>
          </w:p>
        </w:tc>
        <w:tc>
          <w:tcPr>
            <w:tcW w:w="203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项目实际提前完成时间与计划完成时间的比率，用以反映和考核项目产出时效目标的实现程度</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47"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成本指标</w:t>
            </w:r>
          </w:p>
        </w:tc>
        <w:tc>
          <w:tcPr>
            <w:tcW w:w="4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12</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10.00</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严格控制在预算范围内</w:t>
            </w:r>
          </w:p>
        </w:tc>
        <w:tc>
          <w:tcPr>
            <w:tcW w:w="1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19万</w:t>
            </w:r>
          </w:p>
        </w:tc>
        <w:tc>
          <w:tcPr>
            <w:tcW w:w="95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10.56万元</w:t>
            </w:r>
          </w:p>
        </w:tc>
        <w:tc>
          <w:tcPr>
            <w:tcW w:w="10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项目测算投资和预算对比情况。按项目实际情况酌情打分。</w:t>
            </w:r>
          </w:p>
        </w:tc>
        <w:tc>
          <w:tcPr>
            <w:tcW w:w="203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项目完成后的实际成本与预算对比情况</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满意度指标</w:t>
            </w:r>
          </w:p>
        </w:tc>
        <w:tc>
          <w:tcPr>
            <w:tcW w:w="4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社会公众或服务对象满意度</w:t>
            </w:r>
          </w:p>
        </w:tc>
        <w:tc>
          <w:tcPr>
            <w:tcW w:w="4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10</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8.00</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对相关单位及物业公司调查，满意度100%</w:t>
            </w:r>
          </w:p>
        </w:tc>
        <w:tc>
          <w:tcPr>
            <w:tcW w:w="1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百分之八十</w:t>
            </w:r>
          </w:p>
        </w:tc>
        <w:tc>
          <w:tcPr>
            <w:tcW w:w="95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对相关单位及物业公司调查，满意度100%</w:t>
            </w:r>
          </w:p>
        </w:tc>
        <w:tc>
          <w:tcPr>
            <w:tcW w:w="10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社会公众或服务对象是指因该项目实施而受到影响的部门（单位）、群体或个人。一般采取社会调查的方式。</w:t>
            </w:r>
          </w:p>
        </w:tc>
        <w:tc>
          <w:tcPr>
            <w:tcW w:w="203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社会公众或服务对象对项目实施效果的满意程度</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效益指标</w:t>
            </w:r>
          </w:p>
        </w:tc>
        <w:tc>
          <w:tcPr>
            <w:tcW w:w="4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经济效益</w:t>
            </w:r>
          </w:p>
        </w:tc>
        <w:tc>
          <w:tcPr>
            <w:tcW w:w="4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10</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8.00</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提高相关单位和物业公司节能环保意识，达到实现经济效益的目的</w:t>
            </w:r>
          </w:p>
        </w:tc>
        <w:tc>
          <w:tcPr>
            <w:tcW w:w="1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提高节能环保意识，直接推动行为节能，到达实现经济效益的目的。</w:t>
            </w:r>
          </w:p>
        </w:tc>
        <w:tc>
          <w:tcPr>
            <w:tcW w:w="95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提高相关单位和物业公司节能环保意识，达到实现经济效益的目的</w:t>
            </w:r>
          </w:p>
        </w:tc>
        <w:tc>
          <w:tcPr>
            <w:tcW w:w="10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可根据项目实际并结合绩效目标设立情况有选择的进行设置，并将其细化为相应的个性化指标。</w:t>
            </w:r>
          </w:p>
        </w:tc>
        <w:tc>
          <w:tcPr>
            <w:tcW w:w="203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项目实施对经济发展所带来的直接或间接影响情况</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47"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社会效益</w:t>
            </w:r>
          </w:p>
        </w:tc>
        <w:tc>
          <w:tcPr>
            <w:tcW w:w="4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10</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8.00</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对全市垃圾分类起到了示范带头作用</w:t>
            </w:r>
          </w:p>
        </w:tc>
        <w:tc>
          <w:tcPr>
            <w:tcW w:w="1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引领社会节能，起到示范带头作用。</w:t>
            </w:r>
          </w:p>
        </w:tc>
        <w:tc>
          <w:tcPr>
            <w:tcW w:w="95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对全市垃圾分类起到了示范带头作用</w:t>
            </w:r>
          </w:p>
        </w:tc>
        <w:tc>
          <w:tcPr>
            <w:tcW w:w="10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可根据项目实际并结合绩效目标设立情况有选择的进行设置，并将其细化为相应的个性化指标。</w:t>
            </w:r>
          </w:p>
        </w:tc>
        <w:tc>
          <w:tcPr>
            <w:tcW w:w="203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项目实施对社会发展所带来的直接或间接影响情况</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47"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生态效益</w:t>
            </w:r>
          </w:p>
        </w:tc>
        <w:tc>
          <w:tcPr>
            <w:tcW w:w="4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10</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10.00</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垃圾分类回收，减少了环境污染，减少了垃圾处理量</w:t>
            </w:r>
          </w:p>
        </w:tc>
        <w:tc>
          <w:tcPr>
            <w:tcW w:w="1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节水节电垃圾分类处理</w:t>
            </w:r>
          </w:p>
        </w:tc>
        <w:tc>
          <w:tcPr>
            <w:tcW w:w="95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垃圾分类回收，减少了环境污染，减少了垃圾处理量</w:t>
            </w:r>
          </w:p>
        </w:tc>
        <w:tc>
          <w:tcPr>
            <w:tcW w:w="10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 xml:space="preserve">  可根据项目实际并结合绩效目标设立情况有选择的进行设置，并将其细化为相应的个性化指标。</w:t>
            </w:r>
          </w:p>
        </w:tc>
        <w:tc>
          <w:tcPr>
            <w:tcW w:w="203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项目实施对生态环境所带来的直接或间接影响情况</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47"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可持续影响</w:t>
            </w:r>
          </w:p>
        </w:tc>
        <w:tc>
          <w:tcPr>
            <w:tcW w:w="4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10</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10.00</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达到了节能环保观念深入人心，自觉行为节能。</w:t>
            </w:r>
          </w:p>
        </w:tc>
        <w:tc>
          <w:tcPr>
            <w:tcW w:w="15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节能环保观念深入人心，自觉行为节能。</w:t>
            </w:r>
          </w:p>
        </w:tc>
        <w:tc>
          <w:tcPr>
            <w:tcW w:w="95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达到了节能环保观念深入人心，自觉行为节能。</w:t>
            </w:r>
          </w:p>
        </w:tc>
        <w:tc>
          <w:tcPr>
            <w:tcW w:w="10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可根据项目实际并结合绩效目标设立情况有选择的进行设置，并将其细化为相应的个性化指标。</w:t>
            </w:r>
          </w:p>
        </w:tc>
        <w:tc>
          <w:tcPr>
            <w:tcW w:w="203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项目后续运行及成效发挥的可持续影响情况</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552" w:hRule="atLeast"/>
        </w:trPr>
        <w:tc>
          <w:tcPr>
            <w:tcW w:w="8957" w:type="dxa"/>
            <w:gridSpan w:val="16"/>
            <w:tcBorders>
              <w:top w:val="nil"/>
              <w:left w:val="single" w:color="000000" w:sz="4" w:space="0"/>
              <w:bottom w:val="single" w:color="000000" w:sz="4" w:space="0"/>
              <w:right w:val="single" w:color="000000" w:sz="4" w:space="0"/>
            </w:tcBorders>
            <w:shd w:val="clear" w:color="auto" w:fill="auto"/>
            <w:vAlign w:val="center"/>
          </w:tcPr>
          <w:p>
            <w:pPr>
              <w:jc w:val="center"/>
              <w:rPr>
                <w:b/>
                <w:bCs/>
                <w:color w:val="000000"/>
                <w:sz w:val="18"/>
                <w:szCs w:val="18"/>
              </w:rPr>
            </w:pPr>
            <w:r>
              <w:rPr>
                <w:rFonts w:hint="eastAsia"/>
                <w:b/>
                <w:bCs/>
                <w:color w:val="000000"/>
                <w:sz w:val="18"/>
                <w:szCs w:val="18"/>
              </w:rPr>
              <w:t>四、项目绩效综合评价意见</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评价组成员</w:t>
            </w: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姓名</w:t>
            </w:r>
          </w:p>
        </w:tc>
        <w:tc>
          <w:tcPr>
            <w:tcW w:w="169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职称</w:t>
            </w:r>
          </w:p>
        </w:tc>
        <w:tc>
          <w:tcPr>
            <w:tcW w:w="3089"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工作单位</w:t>
            </w: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签名</w:t>
            </w: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刘荣岭</w:t>
            </w:r>
          </w:p>
        </w:tc>
        <w:tc>
          <w:tcPr>
            <w:tcW w:w="169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科级</w:t>
            </w:r>
          </w:p>
        </w:tc>
        <w:tc>
          <w:tcPr>
            <w:tcW w:w="3089"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呼伦贝尔市机关事务管理局</w:t>
            </w: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鲍梦蕾</w:t>
            </w:r>
          </w:p>
        </w:tc>
        <w:tc>
          <w:tcPr>
            <w:tcW w:w="169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科员</w:t>
            </w:r>
          </w:p>
        </w:tc>
        <w:tc>
          <w:tcPr>
            <w:tcW w:w="3089"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呼伦贝尔市机关事务管理局</w:t>
            </w: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161"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谢建国</w:t>
            </w:r>
          </w:p>
        </w:tc>
        <w:tc>
          <w:tcPr>
            <w:tcW w:w="169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处级</w:t>
            </w:r>
          </w:p>
        </w:tc>
        <w:tc>
          <w:tcPr>
            <w:tcW w:w="3089"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呼伦贝尔市机关事务管理局</w:t>
            </w:r>
          </w:p>
        </w:tc>
        <w:tc>
          <w:tcPr>
            <w:tcW w:w="7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624"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综合评价得分</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92.00</w:t>
            </w: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708"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综合绩效等级</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优</w:t>
            </w: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720"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综合评价意见</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圆满完成垃圾分类工作。</w:t>
            </w: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708" w:hRule="atLeast"/>
        </w:trPr>
        <w:tc>
          <w:tcPr>
            <w:tcW w:w="116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综合评价问题</w:t>
            </w:r>
          </w:p>
        </w:tc>
        <w:tc>
          <w:tcPr>
            <w:tcW w:w="7796"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圆满完成垃圾分类工作。</w:t>
            </w:r>
          </w:p>
        </w:tc>
        <w:tc>
          <w:tcPr>
            <w:tcW w:w="2683"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312" w:hRule="atLeast"/>
        </w:trPr>
        <w:tc>
          <w:tcPr>
            <w:tcW w:w="8957" w:type="dxa"/>
            <w:gridSpan w:val="16"/>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b/>
                <w:bCs/>
                <w:color w:val="000000"/>
                <w:sz w:val="18"/>
                <w:szCs w:val="18"/>
              </w:rPr>
            </w:pPr>
            <w:r>
              <w:rPr>
                <w:rFonts w:hint="eastAsia"/>
                <w:b/>
                <w:bCs/>
                <w:color w:val="000000"/>
                <w:sz w:val="18"/>
                <w:szCs w:val="18"/>
              </w:rPr>
              <w:t>审核意见</w:t>
            </w:r>
          </w:p>
        </w:tc>
        <w:tc>
          <w:tcPr>
            <w:tcW w:w="2683" w:type="dxa"/>
            <w:tcBorders>
              <w:top w:val="nil"/>
              <w:left w:val="nil"/>
              <w:bottom w:val="nil"/>
              <w:right w:val="nil"/>
            </w:tcBorders>
            <w:shd w:val="clear" w:color="auto" w:fill="auto"/>
            <w:vAlign w:val="center"/>
          </w:tcPr>
          <w:p>
            <w:pPr>
              <w:jc w:val="center"/>
              <w:rPr>
                <w:rFonts w:ascii="黑体" w:hAnsi="黑体" w:eastAsia="黑体"/>
                <w:b/>
                <w:bCs/>
                <w:color w:val="000000"/>
                <w:sz w:val="32"/>
                <w:szCs w:val="32"/>
              </w:rPr>
            </w:pPr>
          </w:p>
        </w:tc>
      </w:tr>
      <w:tr>
        <w:tblPrEx>
          <w:tblCellMar>
            <w:top w:w="0" w:type="dxa"/>
            <w:left w:w="108" w:type="dxa"/>
            <w:bottom w:w="0" w:type="dxa"/>
            <w:right w:w="108" w:type="dxa"/>
          </w:tblCellMar>
        </w:tblPrEx>
        <w:trPr>
          <w:trHeight w:val="1600" w:hRule="atLeast"/>
        </w:trPr>
        <w:tc>
          <w:tcPr>
            <w:tcW w:w="1161"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申报单位签章</w:t>
            </w:r>
          </w:p>
        </w:tc>
        <w:tc>
          <w:tcPr>
            <w:tcW w:w="3748" w:type="dxa"/>
            <w:gridSpan w:val="5"/>
            <w:tcBorders>
              <w:top w:val="single" w:color="000000" w:sz="4" w:space="0"/>
              <w:left w:val="single" w:color="000000" w:sz="4" w:space="0"/>
              <w:bottom w:val="nil"/>
              <w:right w:val="single" w:color="000000" w:sz="4" w:space="0"/>
            </w:tcBorders>
            <w:shd w:val="clear" w:color="auto" w:fill="FFFFFF"/>
            <w:vAlign w:val="center"/>
          </w:tcPr>
          <w:p>
            <w:pPr>
              <w:rPr>
                <w:color w:val="000000"/>
                <w:sz w:val="18"/>
                <w:szCs w:val="18"/>
              </w:rPr>
            </w:pPr>
            <w:r>
              <w:rPr>
                <w:rFonts w:hint="eastAsia"/>
                <w:color w:val="000000"/>
                <w:sz w:val="18"/>
                <w:szCs w:val="18"/>
              </w:rPr>
              <w:t>提交评审</w:t>
            </w:r>
          </w:p>
        </w:tc>
        <w:tc>
          <w:tcPr>
            <w:tcW w:w="1355" w:type="dxa"/>
            <w:gridSpan w:val="4"/>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业务科室审核意见</w:t>
            </w:r>
          </w:p>
        </w:tc>
        <w:tc>
          <w:tcPr>
            <w:tcW w:w="2693" w:type="dxa"/>
            <w:gridSpan w:val="4"/>
            <w:tcBorders>
              <w:top w:val="single" w:color="000000" w:sz="4" w:space="0"/>
              <w:left w:val="single" w:color="000000" w:sz="4" w:space="0"/>
              <w:bottom w:val="nil"/>
              <w:right w:val="single" w:color="000000" w:sz="4" w:space="0"/>
            </w:tcBorders>
            <w:shd w:val="clear" w:color="auto" w:fill="FFFFFF"/>
            <w:vAlign w:val="center"/>
          </w:tcPr>
          <w:p>
            <w:pPr>
              <w:rPr>
                <w:color w:val="000000"/>
                <w:sz w:val="18"/>
                <w:szCs w:val="18"/>
              </w:rPr>
            </w:pPr>
            <w:r>
              <w:rPr>
                <w:rFonts w:hint="eastAsia"/>
                <w:color w:val="000000"/>
                <w:sz w:val="18"/>
                <w:szCs w:val="18"/>
              </w:rPr>
              <w:t>提交</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560" w:hRule="atLeast"/>
        </w:trPr>
        <w:tc>
          <w:tcPr>
            <w:tcW w:w="1161"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3748" w:type="dxa"/>
            <w:gridSpan w:val="5"/>
            <w:tcBorders>
              <w:top w:val="nil"/>
              <w:left w:val="single" w:color="000000" w:sz="4" w:space="0"/>
              <w:bottom w:val="nil"/>
              <w:right w:val="single" w:color="000000" w:sz="4" w:space="0"/>
            </w:tcBorders>
            <w:shd w:val="clear" w:color="auto" w:fill="FFFFFF"/>
            <w:vAlign w:val="bottom"/>
          </w:tcPr>
          <w:p>
            <w:pPr>
              <w:rPr>
                <w:color w:val="000000"/>
                <w:sz w:val="18"/>
                <w:szCs w:val="18"/>
              </w:rPr>
            </w:pPr>
            <w:r>
              <w:rPr>
                <w:rFonts w:hint="eastAsia"/>
                <w:color w:val="000000"/>
                <w:sz w:val="18"/>
                <w:szCs w:val="18"/>
              </w:rPr>
              <w:t xml:space="preserve">申报单位：呼伦贝尔市机关事务管理局机关  </w:t>
            </w:r>
          </w:p>
        </w:tc>
        <w:tc>
          <w:tcPr>
            <w:tcW w:w="1355" w:type="dxa"/>
            <w:gridSpan w:val="4"/>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693" w:type="dxa"/>
            <w:gridSpan w:val="4"/>
            <w:tcBorders>
              <w:top w:val="nil"/>
              <w:left w:val="single" w:color="000000" w:sz="4" w:space="0"/>
              <w:bottom w:val="nil"/>
              <w:right w:val="single" w:color="000000" w:sz="4" w:space="0"/>
            </w:tcBorders>
            <w:shd w:val="clear" w:color="auto" w:fill="FFFFFF"/>
            <w:vAlign w:val="bottom"/>
          </w:tcPr>
          <w:p>
            <w:pPr>
              <w:rPr>
                <w:color w:val="000000"/>
                <w:sz w:val="18"/>
                <w:szCs w:val="18"/>
              </w:rPr>
            </w:pPr>
            <w:r>
              <w:rPr>
                <w:rFonts w:hint="eastAsia"/>
                <w:color w:val="000000"/>
                <w:sz w:val="18"/>
                <w:szCs w:val="18"/>
              </w:rPr>
              <w:t xml:space="preserve">审核人：陈璐  </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560" w:hRule="atLeast"/>
        </w:trPr>
        <w:tc>
          <w:tcPr>
            <w:tcW w:w="1161"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3748" w:type="dxa"/>
            <w:gridSpan w:val="5"/>
            <w:tcBorders>
              <w:top w:val="nil"/>
              <w:left w:val="single" w:color="000000" w:sz="4" w:space="0"/>
              <w:bottom w:val="single" w:color="000000" w:sz="4" w:space="0"/>
              <w:right w:val="single" w:color="000000" w:sz="4" w:space="0"/>
            </w:tcBorders>
            <w:shd w:val="clear" w:color="auto" w:fill="FFFFFF"/>
            <w:vAlign w:val="bottom"/>
          </w:tcPr>
          <w:p>
            <w:pPr>
              <w:rPr>
                <w:color w:val="000000"/>
                <w:sz w:val="18"/>
                <w:szCs w:val="18"/>
              </w:rPr>
            </w:pPr>
            <w:r>
              <w:rPr>
                <w:rFonts w:hint="eastAsia"/>
                <w:color w:val="000000"/>
                <w:sz w:val="18"/>
                <w:szCs w:val="18"/>
              </w:rPr>
              <w:t>单位签章：                                      2020  年   3月   25日</w:t>
            </w:r>
          </w:p>
        </w:tc>
        <w:tc>
          <w:tcPr>
            <w:tcW w:w="1355" w:type="dxa"/>
            <w:gridSpan w:val="4"/>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693" w:type="dxa"/>
            <w:gridSpan w:val="4"/>
            <w:tcBorders>
              <w:top w:val="nil"/>
              <w:left w:val="single" w:color="000000" w:sz="4" w:space="0"/>
              <w:bottom w:val="single" w:color="000000" w:sz="4" w:space="0"/>
              <w:right w:val="single" w:color="000000" w:sz="4" w:space="0"/>
            </w:tcBorders>
            <w:shd w:val="clear" w:color="auto" w:fill="FFFFFF"/>
            <w:vAlign w:val="bottom"/>
          </w:tcPr>
          <w:p>
            <w:pPr>
              <w:rPr>
                <w:color w:val="000000"/>
                <w:sz w:val="18"/>
                <w:szCs w:val="18"/>
              </w:rPr>
            </w:pPr>
            <w:r>
              <w:rPr>
                <w:rFonts w:hint="eastAsia"/>
                <w:color w:val="000000"/>
                <w:sz w:val="18"/>
                <w:szCs w:val="18"/>
              </w:rPr>
              <w:t>科室签章：                                     2020  年   3月   26日</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600" w:hRule="atLeast"/>
        </w:trPr>
        <w:tc>
          <w:tcPr>
            <w:tcW w:w="1161"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主管部门负责人</w:t>
            </w:r>
          </w:p>
        </w:tc>
        <w:tc>
          <w:tcPr>
            <w:tcW w:w="3748" w:type="dxa"/>
            <w:gridSpan w:val="5"/>
            <w:tcBorders>
              <w:top w:val="single" w:color="000000" w:sz="4" w:space="0"/>
              <w:left w:val="single" w:color="000000" w:sz="4" w:space="0"/>
              <w:bottom w:val="nil"/>
              <w:right w:val="single" w:color="000000" w:sz="4" w:space="0"/>
            </w:tcBorders>
            <w:shd w:val="clear" w:color="auto" w:fill="FFFFFF"/>
            <w:vAlign w:val="center"/>
          </w:tcPr>
          <w:p>
            <w:pPr>
              <w:rPr>
                <w:color w:val="000000"/>
                <w:sz w:val="18"/>
                <w:szCs w:val="18"/>
              </w:rPr>
            </w:pPr>
          </w:p>
        </w:tc>
        <w:tc>
          <w:tcPr>
            <w:tcW w:w="1355" w:type="dxa"/>
            <w:gridSpan w:val="4"/>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财政绩效中心审核意见</w:t>
            </w:r>
          </w:p>
        </w:tc>
        <w:tc>
          <w:tcPr>
            <w:tcW w:w="2693" w:type="dxa"/>
            <w:gridSpan w:val="4"/>
            <w:tcBorders>
              <w:top w:val="single" w:color="000000" w:sz="4" w:space="0"/>
              <w:left w:val="single" w:color="000000" w:sz="4" w:space="0"/>
              <w:bottom w:val="nil"/>
              <w:right w:val="single" w:color="000000" w:sz="4" w:space="0"/>
            </w:tcBorders>
            <w:shd w:val="clear" w:color="auto" w:fill="FFFFFF"/>
            <w:vAlign w:val="center"/>
          </w:tcPr>
          <w:p>
            <w:pPr>
              <w:rPr>
                <w:color w:val="000000"/>
                <w:sz w:val="18"/>
                <w:szCs w:val="18"/>
              </w:rPr>
            </w:pPr>
            <w:r>
              <w:rPr>
                <w:rFonts w:hint="eastAsia"/>
                <w:color w:val="000000"/>
                <w:sz w:val="18"/>
                <w:szCs w:val="18"/>
              </w:rPr>
              <w:t>同意</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560" w:hRule="atLeast"/>
        </w:trPr>
        <w:tc>
          <w:tcPr>
            <w:tcW w:w="1161"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3748" w:type="dxa"/>
            <w:gridSpan w:val="5"/>
            <w:tcBorders>
              <w:top w:val="nil"/>
              <w:left w:val="single" w:color="000000" w:sz="4" w:space="0"/>
              <w:bottom w:val="nil"/>
              <w:right w:val="single" w:color="000000" w:sz="4" w:space="0"/>
            </w:tcBorders>
            <w:shd w:val="clear" w:color="auto" w:fill="FFFFFF"/>
            <w:vAlign w:val="bottom"/>
          </w:tcPr>
          <w:p>
            <w:pPr>
              <w:rPr>
                <w:color w:val="000000"/>
                <w:sz w:val="18"/>
                <w:szCs w:val="18"/>
              </w:rPr>
            </w:pPr>
            <w:r>
              <w:rPr>
                <w:rFonts w:hint="eastAsia"/>
                <w:color w:val="000000"/>
                <w:sz w:val="18"/>
                <w:szCs w:val="18"/>
              </w:rPr>
              <w:t xml:space="preserve">审核人：            </w:t>
            </w:r>
          </w:p>
        </w:tc>
        <w:tc>
          <w:tcPr>
            <w:tcW w:w="1355" w:type="dxa"/>
            <w:gridSpan w:val="4"/>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693" w:type="dxa"/>
            <w:gridSpan w:val="4"/>
            <w:tcBorders>
              <w:top w:val="nil"/>
              <w:left w:val="single" w:color="000000" w:sz="4" w:space="0"/>
              <w:bottom w:val="nil"/>
              <w:right w:val="single" w:color="000000" w:sz="4" w:space="0"/>
            </w:tcBorders>
            <w:shd w:val="clear" w:color="auto" w:fill="FFFFFF"/>
            <w:vAlign w:val="bottom"/>
          </w:tcPr>
          <w:p>
            <w:pPr>
              <w:rPr>
                <w:color w:val="000000"/>
                <w:sz w:val="18"/>
                <w:szCs w:val="18"/>
              </w:rPr>
            </w:pPr>
            <w:r>
              <w:rPr>
                <w:rFonts w:hint="eastAsia"/>
                <w:color w:val="000000"/>
                <w:sz w:val="18"/>
                <w:szCs w:val="18"/>
              </w:rPr>
              <w:t xml:space="preserve">审核人：刘哲  </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560" w:hRule="atLeast"/>
        </w:trPr>
        <w:tc>
          <w:tcPr>
            <w:tcW w:w="1161"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3748" w:type="dxa"/>
            <w:gridSpan w:val="5"/>
            <w:tcBorders>
              <w:top w:val="nil"/>
              <w:left w:val="single" w:color="000000" w:sz="4" w:space="0"/>
              <w:bottom w:val="single" w:color="000000" w:sz="4" w:space="0"/>
              <w:right w:val="single" w:color="000000" w:sz="4" w:space="0"/>
            </w:tcBorders>
            <w:shd w:val="clear" w:color="auto" w:fill="FFFFFF"/>
            <w:vAlign w:val="bottom"/>
          </w:tcPr>
          <w:p>
            <w:pPr>
              <w:rPr>
                <w:color w:val="000000"/>
                <w:sz w:val="18"/>
                <w:szCs w:val="18"/>
              </w:rPr>
            </w:pPr>
            <w:r>
              <w:rPr>
                <w:rFonts w:hint="eastAsia"/>
                <w:color w:val="000000"/>
                <w:sz w:val="18"/>
                <w:szCs w:val="18"/>
              </w:rPr>
              <w:t>单位签章：                                      年   月   日</w:t>
            </w:r>
          </w:p>
        </w:tc>
        <w:tc>
          <w:tcPr>
            <w:tcW w:w="1355" w:type="dxa"/>
            <w:gridSpan w:val="4"/>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693" w:type="dxa"/>
            <w:gridSpan w:val="4"/>
            <w:tcBorders>
              <w:top w:val="nil"/>
              <w:left w:val="single" w:color="000000" w:sz="4" w:space="0"/>
              <w:bottom w:val="single" w:color="000000" w:sz="4" w:space="0"/>
              <w:right w:val="single" w:color="000000" w:sz="4" w:space="0"/>
            </w:tcBorders>
            <w:shd w:val="clear" w:color="auto" w:fill="FFFFFF"/>
            <w:vAlign w:val="bottom"/>
          </w:tcPr>
          <w:p>
            <w:pPr>
              <w:rPr>
                <w:color w:val="000000"/>
                <w:sz w:val="18"/>
                <w:szCs w:val="18"/>
              </w:rPr>
            </w:pPr>
            <w:r>
              <w:rPr>
                <w:rFonts w:hint="eastAsia"/>
                <w:color w:val="000000"/>
                <w:sz w:val="18"/>
                <w:szCs w:val="18"/>
              </w:rPr>
              <w:t>科室签章：                                     2020  年   3月   26日</w:t>
            </w:r>
          </w:p>
        </w:tc>
        <w:tc>
          <w:tcPr>
            <w:tcW w:w="2683"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312" w:hRule="atLeast"/>
        </w:trPr>
        <w:tc>
          <w:tcPr>
            <w:tcW w:w="347" w:type="dxa"/>
            <w:tcBorders>
              <w:top w:val="nil"/>
              <w:left w:val="nil"/>
              <w:bottom w:val="nil"/>
              <w:right w:val="nil"/>
            </w:tcBorders>
            <w:shd w:val="clear" w:color="auto" w:fill="auto"/>
            <w:vAlign w:val="center"/>
          </w:tcPr>
          <w:p>
            <w:pPr>
              <w:jc w:val="center"/>
              <w:rPr>
                <w:color w:val="000000"/>
              </w:rPr>
            </w:pPr>
          </w:p>
        </w:tc>
        <w:tc>
          <w:tcPr>
            <w:tcW w:w="414" w:type="dxa"/>
            <w:tcBorders>
              <w:top w:val="nil"/>
              <w:left w:val="nil"/>
              <w:bottom w:val="nil"/>
              <w:right w:val="nil"/>
            </w:tcBorders>
            <w:shd w:val="clear" w:color="auto" w:fill="auto"/>
            <w:vAlign w:val="center"/>
          </w:tcPr>
          <w:p>
            <w:pPr>
              <w:jc w:val="center"/>
              <w:rPr>
                <w:color w:val="000000"/>
              </w:rPr>
            </w:pPr>
          </w:p>
        </w:tc>
        <w:tc>
          <w:tcPr>
            <w:tcW w:w="400" w:type="dxa"/>
            <w:tcBorders>
              <w:top w:val="nil"/>
              <w:left w:val="nil"/>
              <w:bottom w:val="nil"/>
              <w:right w:val="nil"/>
            </w:tcBorders>
            <w:shd w:val="clear" w:color="auto" w:fill="auto"/>
            <w:vAlign w:val="center"/>
          </w:tcPr>
          <w:p>
            <w:pPr>
              <w:jc w:val="center"/>
              <w:rPr>
                <w:color w:val="000000"/>
              </w:rPr>
            </w:pPr>
          </w:p>
        </w:tc>
        <w:tc>
          <w:tcPr>
            <w:tcW w:w="1034" w:type="dxa"/>
            <w:tcBorders>
              <w:top w:val="nil"/>
              <w:left w:val="nil"/>
              <w:bottom w:val="nil"/>
              <w:right w:val="nil"/>
            </w:tcBorders>
            <w:shd w:val="clear" w:color="auto" w:fill="auto"/>
            <w:vAlign w:val="center"/>
          </w:tcPr>
          <w:p>
            <w:pPr>
              <w:jc w:val="center"/>
              <w:rPr>
                <w:color w:val="000000"/>
              </w:rPr>
            </w:pPr>
          </w:p>
        </w:tc>
        <w:tc>
          <w:tcPr>
            <w:tcW w:w="1196" w:type="dxa"/>
            <w:tcBorders>
              <w:top w:val="nil"/>
              <w:left w:val="nil"/>
              <w:bottom w:val="nil"/>
              <w:right w:val="nil"/>
            </w:tcBorders>
            <w:shd w:val="clear" w:color="auto" w:fill="auto"/>
            <w:vAlign w:val="center"/>
          </w:tcPr>
          <w:p>
            <w:pPr>
              <w:jc w:val="center"/>
              <w:rPr>
                <w:color w:val="000000"/>
              </w:rPr>
            </w:pPr>
          </w:p>
        </w:tc>
        <w:tc>
          <w:tcPr>
            <w:tcW w:w="594" w:type="dxa"/>
            <w:tcBorders>
              <w:top w:val="nil"/>
              <w:left w:val="nil"/>
              <w:bottom w:val="nil"/>
              <w:right w:val="nil"/>
            </w:tcBorders>
            <w:shd w:val="clear" w:color="auto" w:fill="auto"/>
            <w:vAlign w:val="center"/>
          </w:tcPr>
          <w:p>
            <w:pPr>
              <w:jc w:val="center"/>
              <w:rPr>
                <w:color w:val="000000"/>
              </w:rPr>
            </w:pPr>
          </w:p>
        </w:tc>
        <w:tc>
          <w:tcPr>
            <w:tcW w:w="390" w:type="dxa"/>
            <w:tcBorders>
              <w:top w:val="nil"/>
              <w:left w:val="nil"/>
              <w:bottom w:val="nil"/>
              <w:right w:val="nil"/>
            </w:tcBorders>
            <w:shd w:val="clear" w:color="auto" w:fill="auto"/>
            <w:vAlign w:val="center"/>
          </w:tcPr>
          <w:p>
            <w:pPr>
              <w:jc w:val="center"/>
              <w:rPr>
                <w:color w:val="000000"/>
              </w:rPr>
            </w:pPr>
          </w:p>
        </w:tc>
        <w:tc>
          <w:tcPr>
            <w:tcW w:w="534" w:type="dxa"/>
            <w:tcBorders>
              <w:top w:val="nil"/>
              <w:left w:val="nil"/>
              <w:bottom w:val="nil"/>
              <w:right w:val="nil"/>
            </w:tcBorders>
            <w:shd w:val="clear" w:color="auto" w:fill="auto"/>
            <w:vAlign w:val="center"/>
          </w:tcPr>
          <w:p>
            <w:pPr>
              <w:jc w:val="center"/>
              <w:rPr>
                <w:color w:val="000000"/>
              </w:rPr>
            </w:pPr>
          </w:p>
        </w:tc>
        <w:tc>
          <w:tcPr>
            <w:tcW w:w="180" w:type="dxa"/>
            <w:tcBorders>
              <w:top w:val="nil"/>
              <w:left w:val="nil"/>
              <w:bottom w:val="nil"/>
              <w:right w:val="nil"/>
            </w:tcBorders>
            <w:shd w:val="clear" w:color="auto" w:fill="auto"/>
            <w:vAlign w:val="center"/>
          </w:tcPr>
          <w:p>
            <w:pPr>
              <w:jc w:val="center"/>
              <w:rPr>
                <w:color w:val="000000"/>
              </w:rPr>
            </w:pPr>
          </w:p>
        </w:tc>
        <w:tc>
          <w:tcPr>
            <w:tcW w:w="382" w:type="dxa"/>
            <w:tcBorders>
              <w:top w:val="nil"/>
              <w:left w:val="nil"/>
              <w:bottom w:val="nil"/>
              <w:right w:val="nil"/>
            </w:tcBorders>
            <w:shd w:val="clear" w:color="auto" w:fill="auto"/>
            <w:vAlign w:val="center"/>
          </w:tcPr>
          <w:p>
            <w:pPr>
              <w:jc w:val="center"/>
              <w:rPr>
                <w:color w:val="000000"/>
              </w:rPr>
            </w:pPr>
          </w:p>
        </w:tc>
        <w:tc>
          <w:tcPr>
            <w:tcW w:w="395" w:type="dxa"/>
            <w:tcBorders>
              <w:top w:val="nil"/>
              <w:left w:val="nil"/>
              <w:bottom w:val="nil"/>
              <w:right w:val="nil"/>
            </w:tcBorders>
            <w:shd w:val="clear" w:color="auto" w:fill="auto"/>
            <w:vAlign w:val="center"/>
          </w:tcPr>
          <w:p>
            <w:pPr>
              <w:jc w:val="center"/>
              <w:rPr>
                <w:color w:val="000000"/>
              </w:rPr>
            </w:pPr>
          </w:p>
        </w:tc>
        <w:tc>
          <w:tcPr>
            <w:tcW w:w="398" w:type="dxa"/>
            <w:tcBorders>
              <w:top w:val="nil"/>
              <w:left w:val="nil"/>
              <w:bottom w:val="nil"/>
              <w:right w:val="nil"/>
            </w:tcBorders>
            <w:shd w:val="clear" w:color="auto" w:fill="auto"/>
            <w:vAlign w:val="center"/>
          </w:tcPr>
          <w:p>
            <w:pPr>
              <w:jc w:val="center"/>
              <w:rPr>
                <w:color w:val="000000"/>
              </w:rPr>
            </w:pPr>
          </w:p>
        </w:tc>
        <w:tc>
          <w:tcPr>
            <w:tcW w:w="660" w:type="dxa"/>
            <w:tcBorders>
              <w:top w:val="nil"/>
              <w:left w:val="nil"/>
              <w:bottom w:val="nil"/>
              <w:right w:val="nil"/>
            </w:tcBorders>
            <w:shd w:val="clear" w:color="auto" w:fill="auto"/>
            <w:vAlign w:val="center"/>
          </w:tcPr>
          <w:p>
            <w:pPr>
              <w:jc w:val="center"/>
              <w:rPr>
                <w:color w:val="000000"/>
              </w:rPr>
            </w:pPr>
          </w:p>
        </w:tc>
        <w:tc>
          <w:tcPr>
            <w:tcW w:w="684" w:type="dxa"/>
            <w:tcBorders>
              <w:top w:val="nil"/>
              <w:left w:val="nil"/>
              <w:bottom w:val="nil"/>
              <w:right w:val="nil"/>
            </w:tcBorders>
            <w:shd w:val="clear" w:color="auto" w:fill="auto"/>
            <w:vAlign w:val="center"/>
          </w:tcPr>
          <w:p>
            <w:pPr>
              <w:jc w:val="center"/>
              <w:rPr>
                <w:color w:val="000000"/>
              </w:rPr>
            </w:pPr>
          </w:p>
        </w:tc>
        <w:tc>
          <w:tcPr>
            <w:tcW w:w="570" w:type="dxa"/>
            <w:tcBorders>
              <w:top w:val="nil"/>
              <w:left w:val="nil"/>
              <w:bottom w:val="nil"/>
              <w:right w:val="nil"/>
            </w:tcBorders>
            <w:shd w:val="clear" w:color="auto" w:fill="auto"/>
            <w:vAlign w:val="center"/>
          </w:tcPr>
          <w:p>
            <w:pPr>
              <w:jc w:val="center"/>
              <w:rPr>
                <w:color w:val="000000"/>
              </w:rPr>
            </w:pPr>
          </w:p>
        </w:tc>
        <w:tc>
          <w:tcPr>
            <w:tcW w:w="779" w:type="dxa"/>
            <w:tcBorders>
              <w:top w:val="nil"/>
              <w:left w:val="nil"/>
              <w:bottom w:val="nil"/>
              <w:right w:val="nil"/>
            </w:tcBorders>
            <w:shd w:val="clear" w:color="auto" w:fill="auto"/>
            <w:vAlign w:val="center"/>
          </w:tcPr>
          <w:p>
            <w:pPr>
              <w:jc w:val="center"/>
              <w:rPr>
                <w:color w:val="000000"/>
              </w:rPr>
            </w:pPr>
          </w:p>
        </w:tc>
        <w:tc>
          <w:tcPr>
            <w:tcW w:w="2683" w:type="dxa"/>
            <w:tcBorders>
              <w:top w:val="nil"/>
              <w:left w:val="nil"/>
              <w:bottom w:val="nil"/>
              <w:right w:val="nil"/>
            </w:tcBorders>
            <w:shd w:val="clear" w:color="auto" w:fill="auto"/>
            <w:vAlign w:val="center"/>
          </w:tcPr>
          <w:p>
            <w:pPr>
              <w:jc w:val="center"/>
              <w:rPr>
                <w:color w:val="000000"/>
              </w:rPr>
            </w:pPr>
          </w:p>
        </w:tc>
      </w:tr>
    </w:tbl>
    <w:p>
      <w:pPr>
        <w:rPr>
          <w:rFonts w:hint="eastAsia"/>
        </w:rPr>
      </w:pPr>
    </w:p>
    <w:p>
      <w:pPr>
        <w:rPr>
          <w:rFonts w:hint="eastAsia"/>
        </w:rPr>
      </w:pPr>
    </w:p>
    <w:tbl>
      <w:tblPr>
        <w:tblStyle w:val="2"/>
        <w:tblW w:w="11640" w:type="dxa"/>
        <w:tblInd w:w="93" w:type="dxa"/>
        <w:tblLayout w:type="autofit"/>
        <w:tblCellMar>
          <w:top w:w="0" w:type="dxa"/>
          <w:left w:w="108" w:type="dxa"/>
          <w:bottom w:w="0" w:type="dxa"/>
          <w:right w:w="108" w:type="dxa"/>
        </w:tblCellMar>
      </w:tblPr>
      <w:tblGrid>
        <w:gridCol w:w="396"/>
        <w:gridCol w:w="405"/>
        <w:gridCol w:w="399"/>
        <w:gridCol w:w="1034"/>
        <w:gridCol w:w="1196"/>
        <w:gridCol w:w="587"/>
        <w:gridCol w:w="576"/>
        <w:gridCol w:w="756"/>
        <w:gridCol w:w="339"/>
        <w:gridCol w:w="417"/>
        <w:gridCol w:w="387"/>
        <w:gridCol w:w="369"/>
        <w:gridCol w:w="846"/>
        <w:gridCol w:w="756"/>
        <w:gridCol w:w="756"/>
        <w:gridCol w:w="756"/>
        <w:gridCol w:w="1665"/>
      </w:tblGrid>
      <w:tr>
        <w:tblPrEx>
          <w:tblCellMar>
            <w:top w:w="0" w:type="dxa"/>
            <w:left w:w="108" w:type="dxa"/>
            <w:bottom w:w="0" w:type="dxa"/>
            <w:right w:w="108" w:type="dxa"/>
          </w:tblCellMar>
        </w:tblPrEx>
        <w:trPr>
          <w:trHeight w:val="405" w:hRule="atLeast"/>
        </w:trPr>
        <w:tc>
          <w:tcPr>
            <w:tcW w:w="9792" w:type="dxa"/>
            <w:gridSpan w:val="16"/>
            <w:tcBorders>
              <w:top w:val="nil"/>
              <w:left w:val="nil"/>
              <w:bottom w:val="nil"/>
              <w:right w:val="nil"/>
            </w:tcBorders>
            <w:shd w:val="clear" w:color="auto" w:fill="auto"/>
            <w:vAlign w:val="center"/>
          </w:tcPr>
          <w:p>
            <w:pPr>
              <w:jc w:val="center"/>
              <w:rPr>
                <w:rFonts w:ascii="黑体" w:hAnsi="黑体" w:eastAsia="黑体"/>
                <w:b/>
                <w:bCs/>
                <w:color w:val="000000"/>
                <w:sz w:val="32"/>
                <w:szCs w:val="32"/>
              </w:rPr>
            </w:pPr>
            <w:r>
              <w:rPr>
                <w:rFonts w:hint="eastAsia" w:ascii="黑体" w:hAnsi="黑体" w:eastAsia="黑体"/>
                <w:b/>
                <w:bCs/>
                <w:color w:val="000000"/>
                <w:sz w:val="32"/>
                <w:szCs w:val="32"/>
              </w:rPr>
              <w:t>2019年财政资金绩效评价自评信息表</w:t>
            </w:r>
          </w:p>
        </w:tc>
        <w:tc>
          <w:tcPr>
            <w:tcW w:w="1848" w:type="dxa"/>
            <w:tcBorders>
              <w:top w:val="nil"/>
              <w:left w:val="nil"/>
              <w:bottom w:val="nil"/>
              <w:right w:val="nil"/>
            </w:tcBorders>
            <w:shd w:val="clear" w:color="auto" w:fill="auto"/>
            <w:vAlign w:val="center"/>
          </w:tcPr>
          <w:p>
            <w:pPr>
              <w:rPr>
                <w:rFonts w:ascii="黑体" w:hAnsi="黑体" w:eastAsia="黑体"/>
                <w:b/>
                <w:bCs/>
                <w:color w:val="000000"/>
                <w:sz w:val="32"/>
                <w:szCs w:val="32"/>
              </w:rPr>
            </w:pPr>
          </w:p>
        </w:tc>
      </w:tr>
      <w:tr>
        <w:tblPrEx>
          <w:tblCellMar>
            <w:top w:w="0" w:type="dxa"/>
            <w:left w:w="108" w:type="dxa"/>
            <w:bottom w:w="0" w:type="dxa"/>
            <w:right w:w="108" w:type="dxa"/>
          </w:tblCellMar>
        </w:tblPrEx>
        <w:trPr>
          <w:trHeight w:val="204" w:hRule="atLeast"/>
        </w:trPr>
        <w:tc>
          <w:tcPr>
            <w:tcW w:w="11640" w:type="dxa"/>
            <w:gridSpan w:val="17"/>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285" w:hRule="atLeast"/>
        </w:trPr>
        <w:tc>
          <w:tcPr>
            <w:tcW w:w="9792" w:type="dxa"/>
            <w:gridSpan w:val="16"/>
            <w:tcBorders>
              <w:top w:val="nil"/>
              <w:left w:val="nil"/>
              <w:bottom w:val="nil"/>
              <w:right w:val="nil"/>
            </w:tcBorders>
            <w:shd w:val="clear" w:color="auto" w:fill="auto"/>
            <w:vAlign w:val="center"/>
          </w:tcPr>
          <w:p>
            <w:pPr>
              <w:rPr>
                <w:color w:val="000000"/>
                <w:sz w:val="18"/>
                <w:szCs w:val="18"/>
              </w:rPr>
            </w:pPr>
            <w:r>
              <w:rPr>
                <w:rFonts w:hint="eastAsia"/>
                <w:color w:val="000000"/>
                <w:sz w:val="18"/>
                <w:szCs w:val="18"/>
              </w:rPr>
              <w:t>编制单位：呼伦贝尔市机关事务管理局机关</w:t>
            </w:r>
          </w:p>
        </w:tc>
        <w:tc>
          <w:tcPr>
            <w:tcW w:w="1848" w:type="dxa"/>
            <w:tcBorders>
              <w:top w:val="nil"/>
              <w:left w:val="nil"/>
              <w:bottom w:val="nil"/>
              <w:right w:val="nil"/>
            </w:tcBorders>
            <w:shd w:val="clear" w:color="auto" w:fill="auto"/>
            <w:vAlign w:val="center"/>
          </w:tcPr>
          <w:p>
            <w:pPr>
              <w:rPr>
                <w:color w:val="000000"/>
                <w:sz w:val="18"/>
                <w:szCs w:val="18"/>
              </w:rPr>
            </w:pPr>
          </w:p>
        </w:tc>
      </w:tr>
      <w:tr>
        <w:tblPrEx>
          <w:tblCellMar>
            <w:top w:w="0" w:type="dxa"/>
            <w:left w:w="108" w:type="dxa"/>
            <w:bottom w:w="0" w:type="dxa"/>
            <w:right w:w="108" w:type="dxa"/>
          </w:tblCellMar>
        </w:tblPrEx>
        <w:trPr>
          <w:trHeight w:val="408" w:hRule="atLeast"/>
        </w:trPr>
        <w:tc>
          <w:tcPr>
            <w:tcW w:w="9792" w:type="dxa"/>
            <w:gridSpan w:val="16"/>
            <w:tcBorders>
              <w:top w:val="nil"/>
              <w:left w:val="nil"/>
              <w:bottom w:val="single" w:color="000000" w:sz="4" w:space="0"/>
              <w:right w:val="nil"/>
            </w:tcBorders>
            <w:shd w:val="clear" w:color="auto" w:fill="auto"/>
            <w:vAlign w:val="center"/>
          </w:tcPr>
          <w:p>
            <w:pPr>
              <w:jc w:val="center"/>
              <w:rPr>
                <w:b/>
                <w:bCs/>
                <w:color w:val="000000"/>
                <w:sz w:val="18"/>
                <w:szCs w:val="18"/>
              </w:rPr>
            </w:pPr>
            <w:r>
              <w:rPr>
                <w:rFonts w:hint="eastAsia"/>
                <w:b/>
                <w:bCs/>
                <w:color w:val="000000"/>
                <w:sz w:val="18"/>
                <w:szCs w:val="18"/>
              </w:rPr>
              <w:t>一、项目基本情况</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285"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项目名称</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人大常委会会议室改造</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285"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项目负责人</w:t>
            </w:r>
          </w:p>
        </w:tc>
        <w:tc>
          <w:tcPr>
            <w:tcW w:w="4726" w:type="dxa"/>
            <w:gridSpan w:val="7"/>
            <w:tcBorders>
              <w:top w:val="single" w:color="000000" w:sz="4" w:space="0"/>
              <w:left w:val="single" w:color="000000" w:sz="4" w:space="0"/>
              <w:bottom w:val="single" w:color="000000" w:sz="4" w:space="0"/>
              <w:right w:val="nil"/>
            </w:tcBorders>
            <w:shd w:val="clear" w:color="auto" w:fill="auto"/>
            <w:vAlign w:val="center"/>
          </w:tcPr>
          <w:p>
            <w:pPr>
              <w:rPr>
                <w:color w:val="000000"/>
                <w:sz w:val="18"/>
                <w:szCs w:val="18"/>
              </w:rPr>
            </w:pPr>
            <w:r>
              <w:rPr>
                <w:rFonts w:hint="eastAsia"/>
                <w:color w:val="000000"/>
                <w:sz w:val="18"/>
                <w:szCs w:val="18"/>
              </w:rPr>
              <w:t>行政科</w:t>
            </w:r>
          </w:p>
        </w:tc>
        <w:tc>
          <w:tcPr>
            <w:tcW w:w="159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联系电话</w:t>
            </w:r>
          </w:p>
        </w:tc>
        <w:tc>
          <w:tcPr>
            <w:tcW w:w="2268" w:type="dxa"/>
            <w:gridSpan w:val="3"/>
            <w:tcBorders>
              <w:top w:val="single" w:color="000000" w:sz="4" w:space="0"/>
              <w:left w:val="nil"/>
              <w:bottom w:val="single" w:color="000000" w:sz="4" w:space="0"/>
              <w:right w:val="single" w:color="000000" w:sz="4" w:space="0"/>
            </w:tcBorders>
            <w:shd w:val="clear" w:color="auto" w:fill="auto"/>
            <w:vAlign w:val="center"/>
          </w:tcPr>
          <w:p>
            <w:pPr>
              <w:rPr>
                <w:color w:val="000000"/>
                <w:sz w:val="18"/>
                <w:szCs w:val="18"/>
              </w:rPr>
            </w:pPr>
            <w:r>
              <w:rPr>
                <w:color w:val="000000"/>
                <w:sz w:val="18"/>
                <w:szCs w:val="18"/>
              </w:rPr>
              <w:t>8115567</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285"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单位财务</w:t>
            </w:r>
          </w:p>
        </w:tc>
        <w:tc>
          <w:tcPr>
            <w:tcW w:w="4726"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高剑英</w:t>
            </w:r>
          </w:p>
        </w:tc>
        <w:tc>
          <w:tcPr>
            <w:tcW w:w="1596"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财务联系电话</w:t>
            </w:r>
          </w:p>
        </w:tc>
        <w:tc>
          <w:tcPr>
            <w:tcW w:w="2268"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color w:val="000000"/>
                <w:sz w:val="18"/>
                <w:szCs w:val="18"/>
              </w:rPr>
              <w:t>8115567</w:t>
            </w: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735"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项目类别</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商品和服务支出</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285"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项目类型</w:t>
            </w:r>
          </w:p>
        </w:tc>
        <w:tc>
          <w:tcPr>
            <w:tcW w:w="472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新增项目</w:t>
            </w:r>
          </w:p>
        </w:tc>
        <w:tc>
          <w:tcPr>
            <w:tcW w:w="159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项目口径</w:t>
            </w:r>
          </w:p>
        </w:tc>
        <w:tc>
          <w:tcPr>
            <w:tcW w:w="2268"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经常性</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285"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项目依据</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市委会议纪要或决议决定的项目</w:t>
            </w: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285"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项目属性</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专项资金</w:t>
            </w: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360"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项目计划实施时间</w:t>
            </w:r>
          </w:p>
        </w:tc>
        <w:tc>
          <w:tcPr>
            <w:tcW w:w="8590" w:type="dxa"/>
            <w:gridSpan w:val="13"/>
            <w:tcBorders>
              <w:top w:val="single" w:color="000000" w:sz="4" w:space="0"/>
              <w:left w:val="single" w:color="000000" w:sz="4" w:space="0"/>
              <w:bottom w:val="nil"/>
              <w:right w:val="single" w:color="000000" w:sz="4" w:space="0"/>
            </w:tcBorders>
            <w:shd w:val="clear" w:color="auto" w:fill="auto"/>
            <w:vAlign w:val="center"/>
          </w:tcPr>
          <w:p>
            <w:pPr>
              <w:rPr>
                <w:color w:val="000000"/>
                <w:sz w:val="18"/>
                <w:szCs w:val="18"/>
              </w:rPr>
            </w:pPr>
            <w:r>
              <w:rPr>
                <w:rFonts w:hint="eastAsia"/>
                <w:color w:val="000000"/>
                <w:sz w:val="18"/>
                <w:szCs w:val="18"/>
              </w:rPr>
              <w:t xml:space="preserve"> 至 </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339"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项目实际实施时间</w:t>
            </w:r>
          </w:p>
        </w:tc>
        <w:tc>
          <w:tcPr>
            <w:tcW w:w="8590" w:type="dxa"/>
            <w:gridSpan w:val="13"/>
            <w:tcBorders>
              <w:top w:val="single" w:color="000000" w:sz="4" w:space="0"/>
              <w:left w:val="single" w:color="000000" w:sz="4" w:space="0"/>
              <w:bottom w:val="nil"/>
              <w:right w:val="single" w:color="000000" w:sz="4" w:space="0"/>
            </w:tcBorders>
            <w:shd w:val="clear" w:color="auto" w:fill="auto"/>
            <w:vAlign w:val="center"/>
          </w:tcPr>
          <w:p>
            <w:pPr>
              <w:rPr>
                <w:color w:val="000000"/>
                <w:sz w:val="18"/>
                <w:szCs w:val="18"/>
              </w:rPr>
            </w:pPr>
            <w:r>
              <w:rPr>
                <w:rFonts w:hint="eastAsia"/>
                <w:color w:val="000000"/>
                <w:sz w:val="18"/>
                <w:szCs w:val="18"/>
              </w:rPr>
              <w:t xml:space="preserve"> 2019-06-01至 2019-12-31</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312"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项目自评价时间</w:t>
            </w:r>
          </w:p>
        </w:tc>
        <w:tc>
          <w:tcPr>
            <w:tcW w:w="8590" w:type="dxa"/>
            <w:gridSpan w:val="13"/>
            <w:tcBorders>
              <w:top w:val="single" w:color="000000" w:sz="4" w:space="0"/>
              <w:left w:val="single" w:color="000000" w:sz="4" w:space="0"/>
              <w:bottom w:val="nil"/>
              <w:right w:val="single" w:color="000000" w:sz="4" w:space="0"/>
            </w:tcBorders>
            <w:shd w:val="clear" w:color="auto" w:fill="auto"/>
            <w:vAlign w:val="center"/>
          </w:tcPr>
          <w:p>
            <w:pPr>
              <w:rPr>
                <w:color w:val="000000"/>
                <w:sz w:val="18"/>
                <w:szCs w:val="18"/>
              </w:rPr>
            </w:pPr>
            <w:r>
              <w:rPr>
                <w:rFonts w:hint="eastAsia"/>
                <w:color w:val="000000"/>
                <w:sz w:val="18"/>
                <w:szCs w:val="18"/>
              </w:rPr>
              <w:t xml:space="preserve"> 2019-01-01至 2019-12-31</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40"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项目申请原因（包括设立依据、可行性及必要性）</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市人大常委会会议室改造项目，工期两年</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40"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项目内容</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市人大常委会会议室改造项目，工期两年</w:t>
            </w: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1440"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项目概况</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市人大常委会会议室改造项目</w:t>
            </w: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1440" w:hRule="atLeast"/>
        </w:trPr>
        <w:tc>
          <w:tcPr>
            <w:tcW w:w="39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项目绩效目标</w:t>
            </w:r>
          </w:p>
        </w:tc>
        <w:tc>
          <w:tcPr>
            <w:tcW w:w="80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总目标完成情况</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工程质量符合现行建筑工程质量验收合格标准，按设计要求和施工合同规定已全部完工</w:t>
            </w: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1440" w:hRule="atLeast"/>
        </w:trPr>
        <w:tc>
          <w:tcPr>
            <w:tcW w:w="396"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80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阶段性目标完成情况</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工程质量符合现行建筑工程质量验收合格标准，按设计要求和施工合同规定已全部完工</w:t>
            </w: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1440" w:hRule="atLeast"/>
        </w:trPr>
        <w:tc>
          <w:tcPr>
            <w:tcW w:w="39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阶段性目标完成情况</w:t>
            </w:r>
          </w:p>
        </w:tc>
        <w:tc>
          <w:tcPr>
            <w:tcW w:w="80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前期准备</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单位成立项目绩效自评小组，负责项目绩效自评工作。</w:t>
            </w: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1440" w:hRule="atLeast"/>
        </w:trPr>
        <w:tc>
          <w:tcPr>
            <w:tcW w:w="396"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80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组织实施</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已听取相关科室及施工单位意见，绩效自评小组本着客观公正的态度进行了自评。</w:t>
            </w: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1440" w:hRule="atLeast"/>
        </w:trPr>
        <w:tc>
          <w:tcPr>
            <w:tcW w:w="396"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80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分析评价</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自评得分90分，自评等级优。</w:t>
            </w: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600" w:hRule="atLeast"/>
        </w:trPr>
        <w:tc>
          <w:tcPr>
            <w:tcW w:w="9792" w:type="dxa"/>
            <w:gridSpan w:val="16"/>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b/>
                <w:bCs/>
                <w:color w:val="000000"/>
                <w:sz w:val="18"/>
                <w:szCs w:val="18"/>
              </w:rPr>
            </w:pPr>
            <w:r>
              <w:rPr>
                <w:rFonts w:hint="eastAsia"/>
                <w:b/>
                <w:bCs/>
                <w:color w:val="000000"/>
                <w:sz w:val="18"/>
                <w:szCs w:val="18"/>
              </w:rPr>
              <w:t>二、项目资金情况</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40"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申请资金(万元)</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285" w:hRule="atLeast"/>
        </w:trPr>
        <w:tc>
          <w:tcPr>
            <w:tcW w:w="1202"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项目资金来源</w:t>
            </w:r>
          </w:p>
        </w:tc>
        <w:tc>
          <w:tcPr>
            <w:tcW w:w="223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资金来源</w:t>
            </w:r>
          </w:p>
        </w:tc>
        <w:tc>
          <w:tcPr>
            <w:tcW w:w="11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上年结转(万元)</w:t>
            </w:r>
          </w:p>
        </w:tc>
        <w:tc>
          <w:tcPr>
            <w:tcW w:w="133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当年安排资金(万元)</w:t>
            </w:r>
          </w:p>
        </w:tc>
        <w:tc>
          <w:tcPr>
            <w:tcW w:w="159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实际到位</w:t>
            </w: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实际支出</w:t>
            </w:r>
          </w:p>
        </w:tc>
        <w:tc>
          <w:tcPr>
            <w:tcW w:w="7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结转结余金额(万元)</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580" w:hRule="atLeast"/>
        </w:trPr>
        <w:tc>
          <w:tcPr>
            <w:tcW w:w="1202"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批复金额(万元)</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实际金额(万元)</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批复金额(万元)</w:t>
            </w:r>
          </w:p>
        </w:tc>
        <w:tc>
          <w:tcPr>
            <w:tcW w:w="6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实际金额(万元)</w:t>
            </w:r>
          </w:p>
        </w:tc>
        <w:tc>
          <w:tcPr>
            <w:tcW w:w="7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金额(万元)</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到位率（%）</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金额(万元)</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支出实现率（%）</w:t>
            </w:r>
          </w:p>
        </w:tc>
        <w:tc>
          <w:tcPr>
            <w:tcW w:w="756"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nil"/>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合计</w:t>
            </w:r>
          </w:p>
        </w:tc>
        <w:tc>
          <w:tcPr>
            <w:tcW w:w="58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300.00</w:t>
            </w:r>
          </w:p>
        </w:tc>
        <w:tc>
          <w:tcPr>
            <w:tcW w:w="66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300.00</w:t>
            </w:r>
          </w:p>
        </w:tc>
        <w:tc>
          <w:tcPr>
            <w:tcW w:w="75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300.00</w:t>
            </w: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100.00%</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290.84</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96.95%</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9.16</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color w:val="000000"/>
                <w:sz w:val="22"/>
                <w:szCs w:val="22"/>
              </w:rPr>
            </w:pPr>
            <w:r>
              <w:rPr>
                <w:rFonts w:hint="eastAsia"/>
                <w:color w:val="000000"/>
                <w:sz w:val="22"/>
                <w:szCs w:val="22"/>
              </w:rPr>
              <w:t>公共财政预算管理资金</w:t>
            </w:r>
          </w:p>
        </w:tc>
        <w:tc>
          <w:tcPr>
            <w:tcW w:w="58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300.00</w:t>
            </w:r>
          </w:p>
        </w:tc>
        <w:tc>
          <w:tcPr>
            <w:tcW w:w="66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300.00</w:t>
            </w:r>
          </w:p>
        </w:tc>
        <w:tc>
          <w:tcPr>
            <w:tcW w:w="75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300.00</w:t>
            </w: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100.00%</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290.84</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96.95%</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91600</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color w:val="000000"/>
                <w:sz w:val="22"/>
                <w:szCs w:val="22"/>
              </w:rPr>
            </w:pPr>
            <w:r>
              <w:rPr>
                <w:rFonts w:hint="eastAsia"/>
                <w:color w:val="000000"/>
                <w:sz w:val="22"/>
                <w:szCs w:val="22"/>
              </w:rPr>
              <w:t>政府性资金预算资金</w:t>
            </w:r>
          </w:p>
        </w:tc>
        <w:tc>
          <w:tcPr>
            <w:tcW w:w="58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5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color w:val="000000"/>
                <w:sz w:val="22"/>
                <w:szCs w:val="22"/>
              </w:rPr>
            </w:pPr>
            <w:r>
              <w:rPr>
                <w:rFonts w:hint="eastAsia"/>
                <w:color w:val="000000"/>
                <w:sz w:val="22"/>
                <w:szCs w:val="22"/>
              </w:rPr>
              <w:t>国有资本经营预算资金</w:t>
            </w:r>
          </w:p>
        </w:tc>
        <w:tc>
          <w:tcPr>
            <w:tcW w:w="58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5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color w:val="000000"/>
                <w:sz w:val="22"/>
                <w:szCs w:val="22"/>
              </w:rPr>
            </w:pPr>
            <w:r>
              <w:rPr>
                <w:rFonts w:hint="eastAsia"/>
                <w:color w:val="000000"/>
                <w:sz w:val="22"/>
                <w:szCs w:val="22"/>
              </w:rPr>
              <w:t>社会保险基本预算资金</w:t>
            </w:r>
          </w:p>
        </w:tc>
        <w:tc>
          <w:tcPr>
            <w:tcW w:w="58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5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color w:val="000000"/>
                <w:sz w:val="22"/>
                <w:szCs w:val="22"/>
              </w:rPr>
            </w:pPr>
            <w:r>
              <w:rPr>
                <w:rFonts w:hint="eastAsia"/>
                <w:color w:val="000000"/>
                <w:sz w:val="22"/>
                <w:szCs w:val="22"/>
              </w:rPr>
              <w:t>其他资金</w:t>
            </w:r>
          </w:p>
        </w:tc>
        <w:tc>
          <w:tcPr>
            <w:tcW w:w="58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5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color w:val="000000"/>
                <w:sz w:val="22"/>
                <w:szCs w:val="22"/>
              </w:rPr>
            </w:pPr>
            <w:r>
              <w:rPr>
                <w:rFonts w:hint="eastAsia"/>
                <w:color w:val="000000"/>
                <w:sz w:val="22"/>
                <w:szCs w:val="22"/>
              </w:rPr>
              <w:t>旗市区拨款(本级)</w:t>
            </w:r>
          </w:p>
        </w:tc>
        <w:tc>
          <w:tcPr>
            <w:tcW w:w="58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5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color w:val="000000"/>
                <w:sz w:val="22"/>
                <w:szCs w:val="22"/>
              </w:rPr>
            </w:pPr>
            <w:r>
              <w:rPr>
                <w:rFonts w:hint="eastAsia"/>
                <w:color w:val="000000"/>
                <w:sz w:val="22"/>
                <w:szCs w:val="22"/>
              </w:rPr>
              <w:t>中央拨款</w:t>
            </w:r>
          </w:p>
        </w:tc>
        <w:tc>
          <w:tcPr>
            <w:tcW w:w="58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5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color w:val="000000"/>
                <w:sz w:val="22"/>
                <w:szCs w:val="22"/>
              </w:rPr>
            </w:pPr>
            <w:r>
              <w:rPr>
                <w:rFonts w:hint="eastAsia"/>
                <w:color w:val="000000"/>
                <w:sz w:val="22"/>
                <w:szCs w:val="22"/>
              </w:rPr>
              <w:t>自治区拨款</w:t>
            </w:r>
          </w:p>
        </w:tc>
        <w:tc>
          <w:tcPr>
            <w:tcW w:w="58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5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nil"/>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color w:val="000000"/>
                <w:sz w:val="22"/>
                <w:szCs w:val="22"/>
              </w:rPr>
            </w:pPr>
            <w:r>
              <w:rPr>
                <w:rFonts w:hint="eastAsia"/>
                <w:color w:val="000000"/>
                <w:sz w:val="22"/>
                <w:szCs w:val="22"/>
              </w:rPr>
              <w:t>预算资金(本级追加)</w:t>
            </w:r>
          </w:p>
        </w:tc>
        <w:tc>
          <w:tcPr>
            <w:tcW w:w="58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66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5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0.00</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资金支出情况（万元)</w:t>
            </w:r>
          </w:p>
        </w:tc>
        <w:tc>
          <w:tcPr>
            <w:tcW w:w="2818" w:type="dxa"/>
            <w:gridSpan w:val="3"/>
            <w:tcBorders>
              <w:top w:val="nil"/>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支出明细内容</w:t>
            </w:r>
          </w:p>
        </w:tc>
        <w:tc>
          <w:tcPr>
            <w:tcW w:w="190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型号</w:t>
            </w:r>
          </w:p>
        </w:tc>
        <w:tc>
          <w:tcPr>
            <w:tcW w:w="1596"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计量单位</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数量</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单价</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总额</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color w:val="000000"/>
                <w:sz w:val="18"/>
                <w:szCs w:val="18"/>
              </w:rPr>
            </w:pPr>
          </w:p>
        </w:tc>
        <w:tc>
          <w:tcPr>
            <w:tcW w:w="2818" w:type="dxa"/>
            <w:gridSpan w:val="3"/>
            <w:tcBorders>
              <w:top w:val="nil"/>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合计</w:t>
            </w:r>
          </w:p>
        </w:tc>
        <w:tc>
          <w:tcPr>
            <w:tcW w:w="190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1596"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5.00</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290.84</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290.84</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818"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招标代理费</w:t>
            </w:r>
          </w:p>
        </w:tc>
        <w:tc>
          <w:tcPr>
            <w:tcW w:w="190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无</w:t>
            </w:r>
          </w:p>
        </w:tc>
        <w:tc>
          <w:tcPr>
            <w:tcW w:w="1596"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无</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3.00</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3.00</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818"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工程款</w:t>
            </w:r>
          </w:p>
        </w:tc>
        <w:tc>
          <w:tcPr>
            <w:tcW w:w="190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无</w:t>
            </w:r>
          </w:p>
        </w:tc>
        <w:tc>
          <w:tcPr>
            <w:tcW w:w="1596"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无</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229.90</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229.90</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818"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装修设计费</w:t>
            </w:r>
          </w:p>
        </w:tc>
        <w:tc>
          <w:tcPr>
            <w:tcW w:w="190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无</w:t>
            </w:r>
          </w:p>
        </w:tc>
        <w:tc>
          <w:tcPr>
            <w:tcW w:w="1596"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无</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10.80</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10.80</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818"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工程监理费</w:t>
            </w:r>
          </w:p>
        </w:tc>
        <w:tc>
          <w:tcPr>
            <w:tcW w:w="190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无</w:t>
            </w:r>
          </w:p>
        </w:tc>
        <w:tc>
          <w:tcPr>
            <w:tcW w:w="1596"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无</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3.50</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3.50</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818"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会议用品及家具</w:t>
            </w:r>
          </w:p>
        </w:tc>
        <w:tc>
          <w:tcPr>
            <w:tcW w:w="190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无</w:t>
            </w:r>
          </w:p>
        </w:tc>
        <w:tc>
          <w:tcPr>
            <w:tcW w:w="1596"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无</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1</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43.64</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43.64</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200"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资金管理情况分析</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按照专项资金相关财务管理制度，在资金管理上进行独立核算、专款专用、不存在资金截留、挤占、挪用、虚列开支等情况。</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000"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备注</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540"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项目资金来源（全口径）</w:t>
            </w:r>
          </w:p>
        </w:tc>
        <w:tc>
          <w:tcPr>
            <w:tcW w:w="103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合计</w:t>
            </w:r>
          </w:p>
        </w:tc>
        <w:tc>
          <w:tcPr>
            <w:tcW w:w="11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300</w:t>
            </w:r>
          </w:p>
        </w:tc>
        <w:tc>
          <w:tcPr>
            <w:tcW w:w="58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中央拨款</w:t>
            </w:r>
          </w:p>
        </w:tc>
        <w:tc>
          <w:tcPr>
            <w:tcW w:w="576"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0</w:t>
            </w:r>
          </w:p>
        </w:tc>
        <w:tc>
          <w:tcPr>
            <w:tcW w:w="93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自治区拨款</w:t>
            </w:r>
          </w:p>
        </w:tc>
        <w:tc>
          <w:tcPr>
            <w:tcW w:w="77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0</w:t>
            </w:r>
          </w:p>
        </w:tc>
        <w:tc>
          <w:tcPr>
            <w:tcW w:w="121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市本级拨款</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300.00</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其他（非本级）</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0</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540" w:hRule="atLeast"/>
        </w:trPr>
        <w:tc>
          <w:tcPr>
            <w:tcW w:w="9792" w:type="dxa"/>
            <w:gridSpan w:val="16"/>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b/>
                <w:bCs/>
                <w:color w:val="000000"/>
                <w:sz w:val="18"/>
                <w:szCs w:val="18"/>
              </w:rPr>
            </w:pPr>
            <w:r>
              <w:rPr>
                <w:rFonts w:hint="eastAsia"/>
                <w:b/>
                <w:bCs/>
                <w:color w:val="000000"/>
                <w:sz w:val="18"/>
                <w:szCs w:val="18"/>
              </w:rPr>
              <w:t>三、绩效目标情况</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一级指标</w:t>
            </w:r>
          </w:p>
        </w:tc>
        <w:tc>
          <w:tcPr>
            <w:tcW w:w="407"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二级指标</w:t>
            </w:r>
          </w:p>
        </w:tc>
        <w:tc>
          <w:tcPr>
            <w:tcW w:w="39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权重</w:t>
            </w:r>
          </w:p>
        </w:tc>
        <w:tc>
          <w:tcPr>
            <w:tcW w:w="103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得分</w:t>
            </w:r>
          </w:p>
        </w:tc>
        <w:tc>
          <w:tcPr>
            <w:tcW w:w="11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 xml:space="preserve">得分(理由)依据 </w:t>
            </w: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预期目标</w:t>
            </w:r>
          </w:p>
        </w:tc>
        <w:tc>
          <w:tcPr>
            <w:tcW w:w="104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实际结果</w:t>
            </w:r>
          </w:p>
        </w:tc>
        <w:tc>
          <w:tcPr>
            <w:tcW w:w="121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指标说明</w:t>
            </w:r>
          </w:p>
        </w:tc>
        <w:tc>
          <w:tcPr>
            <w:tcW w:w="2268"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评分标准</w:t>
            </w: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产出指标</w:t>
            </w:r>
          </w:p>
        </w:tc>
        <w:tc>
          <w:tcPr>
            <w:tcW w:w="4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质量指标</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13</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13.00</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满足全市人大工作会议需求</w:t>
            </w: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满足全市人大工作会议需求</w:t>
            </w:r>
          </w:p>
        </w:tc>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满足全市人大工作会议需求</w:t>
            </w:r>
          </w:p>
        </w:tc>
        <w:tc>
          <w:tcPr>
            <w:tcW w:w="12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评价项目是否进行验收，验收情况。验收合格得满分，不合格0分</w:t>
            </w:r>
          </w:p>
        </w:tc>
        <w:tc>
          <w:tcPr>
            <w:tcW w:w="22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项目完成的质量验收情况，用以反映和考核项目产出质量目标的实现程度</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96"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4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数量指标</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13</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13.00</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满足全市人大工作会议需求</w:t>
            </w: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满足全市人大工作会议需求</w:t>
            </w:r>
          </w:p>
        </w:tc>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满足全市人大工作会议需求</w:t>
            </w:r>
          </w:p>
        </w:tc>
        <w:tc>
          <w:tcPr>
            <w:tcW w:w="12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 xml:space="preserve"> 实际产出数：一定时期（本年度或项目期）内项目实际产出的产品或提供的服务数量。 计划产出数：项目绩效目标确定的在一定时期（本年度或项目期）内计划产出的产品或提供的服务数量。实际完成率=（实际产出数/计划产出数）×100%。100%得满分，90%以上得指标分值的60%，80%以上得20%，低于80%得0分</w:t>
            </w:r>
          </w:p>
        </w:tc>
        <w:tc>
          <w:tcPr>
            <w:tcW w:w="22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项目实施的计划产出数，用以反映和考核项目产出数量目标的实现程度</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96"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4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时效指标</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12</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12.00</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按时保质保量完成</w:t>
            </w: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2年</w:t>
            </w:r>
          </w:p>
        </w:tc>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按时保质保量完成</w:t>
            </w:r>
          </w:p>
        </w:tc>
        <w:tc>
          <w:tcPr>
            <w:tcW w:w="12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完成及时率=[（计划完成时间-实际完成时间）/计划完成时间]×100%。 实际完成时间：项目实施单位完成该项目实际所耗用的时间。 计划完成时间：按照项目实施计划或相关规定完成该项目所需的时间。全部执行政府采购的得满分，应执行未执行的不得分。</w:t>
            </w:r>
          </w:p>
        </w:tc>
        <w:tc>
          <w:tcPr>
            <w:tcW w:w="22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项目实际提前完成时间与计划完成时间的比率，用以反映和考核项目产出时效目标的实现程度</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96"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4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成本指标</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12</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10.00</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实际拨付300万元，实际支出290.84万元。控制在预算以内。</w:t>
            </w: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300</w:t>
            </w:r>
          </w:p>
        </w:tc>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实际拨付300万元，实际支出290.84万元。控制在预算以内。</w:t>
            </w:r>
          </w:p>
        </w:tc>
        <w:tc>
          <w:tcPr>
            <w:tcW w:w="12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项目测算投资和预算对比情况。按项目实际情况酌情打分。</w:t>
            </w:r>
          </w:p>
        </w:tc>
        <w:tc>
          <w:tcPr>
            <w:tcW w:w="22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项目完成后的实际成本与预算对比情况</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满意度指标</w:t>
            </w:r>
          </w:p>
        </w:tc>
        <w:tc>
          <w:tcPr>
            <w:tcW w:w="4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社会公众或服务对象满意度</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10</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10.00</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满足全市人大工作会议需求</w:t>
            </w: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百分之八十</w:t>
            </w:r>
          </w:p>
        </w:tc>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满足全市人大工作会议需求</w:t>
            </w:r>
          </w:p>
        </w:tc>
        <w:tc>
          <w:tcPr>
            <w:tcW w:w="12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社会公众或服务对象是指因该项目实施而受到影响的部门（单位）、群体或个人。一般采取社会调查的方式。</w:t>
            </w:r>
          </w:p>
        </w:tc>
        <w:tc>
          <w:tcPr>
            <w:tcW w:w="22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社会公众或服务对象对项目实施效果的满意程度</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效益指标</w:t>
            </w:r>
          </w:p>
        </w:tc>
        <w:tc>
          <w:tcPr>
            <w:tcW w:w="4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经济效益</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10</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8.00</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通过优化方案和施工设计图设计、市场调研有效控制造价，节约成本，提高资金使用效率</w:t>
            </w: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满足节约成本，提高资金使用效率</w:t>
            </w:r>
          </w:p>
        </w:tc>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通过优化方案和施工设计图设计、市场调研有效控制造价，节约成本，提高资金使用效率</w:t>
            </w:r>
          </w:p>
        </w:tc>
        <w:tc>
          <w:tcPr>
            <w:tcW w:w="12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可根据项目实际并结合绩效目标设立情况有选择的进行设置，并将其细化为相应的个性化指标。</w:t>
            </w:r>
          </w:p>
        </w:tc>
        <w:tc>
          <w:tcPr>
            <w:tcW w:w="22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项目实施对经济发展所带来的直接或间接影响情况</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96"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4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社会效益</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10</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8.00</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通过会议室改造杜绝豪华装修、建设节约型机关工作，提高政府机关形象</w:t>
            </w: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建设节约型机关工作，提高政府机关形象。</w:t>
            </w:r>
          </w:p>
        </w:tc>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通过会议室改造杜绝豪华装修、建设节约型机关工作，提高政府机关形象</w:t>
            </w:r>
          </w:p>
        </w:tc>
        <w:tc>
          <w:tcPr>
            <w:tcW w:w="12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可根据项目实际并结合绩效目标设立情况有选择的进行设置，并将其细化为相应的个性化指标。</w:t>
            </w:r>
          </w:p>
        </w:tc>
        <w:tc>
          <w:tcPr>
            <w:tcW w:w="22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项目实施对社会发展所带来的直接或间接影响情况</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96"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4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生态效益</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10</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8.00</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装修均采用环保、节能设计和装修材料，环境效益良好，达到了营造庄重、实用、协调、节能、环保的效果</w:t>
            </w: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达到了营造庄重、实用、协调、节能、环保的效果</w:t>
            </w:r>
          </w:p>
        </w:tc>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装修均采用环保、节能设计和装修材料，环境效益良好，达到了营造庄重、实用、协调、节能、环保的效果</w:t>
            </w:r>
          </w:p>
        </w:tc>
        <w:tc>
          <w:tcPr>
            <w:tcW w:w="12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 xml:space="preserve">  可根据项目实际并结合绩效目标设立情况有选择的进行设置，并将其细化为相应的个性化指标。</w:t>
            </w:r>
          </w:p>
        </w:tc>
        <w:tc>
          <w:tcPr>
            <w:tcW w:w="22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项目实施对生态环境所带来的直接或间接影响情况</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420" w:hRule="atLeast"/>
        </w:trPr>
        <w:tc>
          <w:tcPr>
            <w:tcW w:w="396" w:type="dxa"/>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4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可持续影响</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10</w:t>
            </w:r>
          </w:p>
        </w:tc>
        <w:tc>
          <w:tcPr>
            <w:tcW w:w="10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8.00</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有效提高了会议室的使用年限</w:t>
            </w:r>
          </w:p>
        </w:tc>
        <w:tc>
          <w:tcPr>
            <w:tcW w:w="18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有效提高了会议室的使用年限</w:t>
            </w:r>
          </w:p>
        </w:tc>
        <w:tc>
          <w:tcPr>
            <w:tcW w:w="104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有效提高了会议室的使用年限</w:t>
            </w:r>
          </w:p>
        </w:tc>
        <w:tc>
          <w:tcPr>
            <w:tcW w:w="12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000000"/>
                <w:sz w:val="18"/>
                <w:szCs w:val="18"/>
              </w:rPr>
            </w:pPr>
            <w:r>
              <w:rPr>
                <w:rFonts w:hint="eastAsia"/>
                <w:color w:val="000000"/>
                <w:sz w:val="18"/>
                <w:szCs w:val="18"/>
              </w:rPr>
              <w:t>可根据项目实际并结合绩效目标设立情况有选择的进行设置，并将其细化为相应的个性化指标。</w:t>
            </w:r>
          </w:p>
        </w:tc>
        <w:tc>
          <w:tcPr>
            <w:tcW w:w="22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color w:val="000000"/>
                <w:sz w:val="18"/>
                <w:szCs w:val="18"/>
              </w:rPr>
            </w:pPr>
            <w:r>
              <w:rPr>
                <w:rFonts w:hint="eastAsia"/>
                <w:color w:val="000000"/>
                <w:sz w:val="18"/>
                <w:szCs w:val="18"/>
              </w:rPr>
              <w:t>项目后续运行及成效发挥的可持续影响情况</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552" w:hRule="atLeast"/>
        </w:trPr>
        <w:tc>
          <w:tcPr>
            <w:tcW w:w="9792" w:type="dxa"/>
            <w:gridSpan w:val="16"/>
            <w:tcBorders>
              <w:top w:val="nil"/>
              <w:left w:val="single" w:color="000000" w:sz="4" w:space="0"/>
              <w:bottom w:val="single" w:color="000000" w:sz="4" w:space="0"/>
              <w:right w:val="single" w:color="000000" w:sz="4" w:space="0"/>
            </w:tcBorders>
            <w:shd w:val="clear" w:color="auto" w:fill="auto"/>
            <w:vAlign w:val="center"/>
          </w:tcPr>
          <w:p>
            <w:pPr>
              <w:jc w:val="center"/>
              <w:rPr>
                <w:b/>
                <w:bCs/>
                <w:color w:val="000000"/>
                <w:sz w:val="18"/>
                <w:szCs w:val="18"/>
              </w:rPr>
            </w:pPr>
            <w:r>
              <w:rPr>
                <w:rFonts w:hint="eastAsia"/>
                <w:b/>
                <w:bCs/>
                <w:color w:val="000000"/>
                <w:sz w:val="18"/>
                <w:szCs w:val="18"/>
              </w:rPr>
              <w:t>四、项目绩效综合评价意见</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评价组成员</w:t>
            </w: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姓名</w:t>
            </w:r>
          </w:p>
        </w:tc>
        <w:tc>
          <w:tcPr>
            <w:tcW w:w="210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职称</w:t>
            </w:r>
          </w:p>
        </w:tc>
        <w:tc>
          <w:tcPr>
            <w:tcW w:w="3503"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工作单位</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签名</w:t>
            </w: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刘景财</w:t>
            </w:r>
          </w:p>
        </w:tc>
        <w:tc>
          <w:tcPr>
            <w:tcW w:w="210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科级</w:t>
            </w:r>
          </w:p>
        </w:tc>
        <w:tc>
          <w:tcPr>
            <w:tcW w:w="3503"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呼伦贝尔市机关事务管理局</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王建明</w:t>
            </w:r>
          </w:p>
        </w:tc>
        <w:tc>
          <w:tcPr>
            <w:tcW w:w="210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科员</w:t>
            </w:r>
          </w:p>
        </w:tc>
        <w:tc>
          <w:tcPr>
            <w:tcW w:w="3503"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呼伦贝尔市机关事务管理局</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400" w:hRule="atLeast"/>
        </w:trPr>
        <w:tc>
          <w:tcPr>
            <w:tcW w:w="1202"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223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谢建国</w:t>
            </w:r>
          </w:p>
        </w:tc>
        <w:tc>
          <w:tcPr>
            <w:tcW w:w="210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处级</w:t>
            </w:r>
          </w:p>
        </w:tc>
        <w:tc>
          <w:tcPr>
            <w:tcW w:w="3503"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呼伦贝尔市机关事务管理局</w:t>
            </w:r>
          </w:p>
        </w:tc>
        <w:tc>
          <w:tcPr>
            <w:tcW w:w="7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624"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综合评价得分</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90.00</w:t>
            </w: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708"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综合绩效等级</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优</w:t>
            </w: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720"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综合评价意见</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工程质量符合现行建筑工程质量验收合格标准，按设计要求和施工合同规定按时完工，满足全市人大工作会议需求。</w:t>
            </w: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708" w:hRule="atLeast"/>
        </w:trPr>
        <w:tc>
          <w:tcPr>
            <w:tcW w:w="120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color w:val="000000"/>
                <w:sz w:val="18"/>
                <w:szCs w:val="18"/>
              </w:rPr>
            </w:pPr>
            <w:r>
              <w:rPr>
                <w:rFonts w:hint="eastAsia"/>
                <w:color w:val="000000"/>
                <w:sz w:val="18"/>
                <w:szCs w:val="18"/>
              </w:rPr>
              <w:t>综合评价问题</w:t>
            </w:r>
          </w:p>
        </w:tc>
        <w:tc>
          <w:tcPr>
            <w:tcW w:w="8590"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工程质量符合现行建筑工程质量验收合格标准，按设计要求和施工合同规定按时完工，满足全市人大工作会议需求。</w:t>
            </w:r>
          </w:p>
        </w:tc>
        <w:tc>
          <w:tcPr>
            <w:tcW w:w="1848" w:type="dxa"/>
            <w:tcBorders>
              <w:top w:val="nil"/>
              <w:left w:val="nil"/>
              <w:bottom w:val="nil"/>
              <w:right w:val="nil"/>
            </w:tcBorders>
            <w:shd w:val="clear" w:color="auto" w:fill="FFFFFF"/>
            <w:vAlign w:val="center"/>
          </w:tcPr>
          <w:p>
            <w:pPr>
              <w:jc w:val="center"/>
              <w:rPr>
                <w:color w:val="000000"/>
              </w:rPr>
            </w:pPr>
          </w:p>
        </w:tc>
      </w:tr>
      <w:tr>
        <w:tblPrEx>
          <w:tblCellMar>
            <w:top w:w="0" w:type="dxa"/>
            <w:left w:w="108" w:type="dxa"/>
            <w:bottom w:w="0" w:type="dxa"/>
            <w:right w:w="108" w:type="dxa"/>
          </w:tblCellMar>
        </w:tblPrEx>
        <w:trPr>
          <w:trHeight w:val="312" w:hRule="atLeast"/>
        </w:trPr>
        <w:tc>
          <w:tcPr>
            <w:tcW w:w="9792" w:type="dxa"/>
            <w:gridSpan w:val="16"/>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b/>
                <w:bCs/>
                <w:color w:val="000000"/>
                <w:sz w:val="18"/>
                <w:szCs w:val="18"/>
              </w:rPr>
            </w:pPr>
            <w:r>
              <w:rPr>
                <w:rFonts w:hint="eastAsia"/>
                <w:b/>
                <w:bCs/>
                <w:color w:val="000000"/>
                <w:sz w:val="18"/>
                <w:szCs w:val="18"/>
              </w:rPr>
              <w:t>审核意见</w:t>
            </w:r>
          </w:p>
        </w:tc>
        <w:tc>
          <w:tcPr>
            <w:tcW w:w="1848" w:type="dxa"/>
            <w:tcBorders>
              <w:top w:val="nil"/>
              <w:left w:val="nil"/>
              <w:bottom w:val="nil"/>
              <w:right w:val="nil"/>
            </w:tcBorders>
            <w:shd w:val="clear" w:color="auto" w:fill="auto"/>
            <w:vAlign w:val="center"/>
          </w:tcPr>
          <w:p>
            <w:pPr>
              <w:jc w:val="center"/>
              <w:rPr>
                <w:rFonts w:ascii="黑体" w:hAnsi="黑体" w:eastAsia="黑体"/>
                <w:b/>
                <w:bCs/>
                <w:color w:val="000000"/>
                <w:sz w:val="32"/>
                <w:szCs w:val="32"/>
              </w:rPr>
            </w:pPr>
          </w:p>
        </w:tc>
      </w:tr>
      <w:tr>
        <w:tblPrEx>
          <w:tblCellMar>
            <w:top w:w="0" w:type="dxa"/>
            <w:left w:w="108" w:type="dxa"/>
            <w:bottom w:w="0" w:type="dxa"/>
            <w:right w:w="108" w:type="dxa"/>
          </w:tblCellMar>
        </w:tblPrEx>
        <w:trPr>
          <w:trHeight w:val="1600" w:hRule="atLeast"/>
        </w:trPr>
        <w:tc>
          <w:tcPr>
            <w:tcW w:w="1202"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申报单位签章</w:t>
            </w:r>
          </w:p>
        </w:tc>
        <w:tc>
          <w:tcPr>
            <w:tcW w:w="4060" w:type="dxa"/>
            <w:gridSpan w:val="5"/>
            <w:tcBorders>
              <w:top w:val="single" w:color="000000" w:sz="4" w:space="0"/>
              <w:left w:val="single" w:color="000000" w:sz="4" w:space="0"/>
              <w:bottom w:val="nil"/>
              <w:right w:val="single" w:color="000000" w:sz="4" w:space="0"/>
            </w:tcBorders>
            <w:shd w:val="clear" w:color="auto" w:fill="FFFFFF"/>
            <w:vAlign w:val="center"/>
          </w:tcPr>
          <w:p>
            <w:pPr>
              <w:rPr>
                <w:color w:val="000000"/>
                <w:sz w:val="18"/>
                <w:szCs w:val="18"/>
              </w:rPr>
            </w:pPr>
            <w:r>
              <w:rPr>
                <w:rFonts w:hint="eastAsia"/>
                <w:color w:val="000000"/>
                <w:sz w:val="18"/>
                <w:szCs w:val="18"/>
              </w:rPr>
              <w:t>提交评审</w:t>
            </w:r>
          </w:p>
        </w:tc>
        <w:tc>
          <w:tcPr>
            <w:tcW w:w="1416" w:type="dxa"/>
            <w:gridSpan w:val="4"/>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业务科室审核意见</w:t>
            </w:r>
          </w:p>
        </w:tc>
        <w:tc>
          <w:tcPr>
            <w:tcW w:w="3114" w:type="dxa"/>
            <w:gridSpan w:val="4"/>
            <w:tcBorders>
              <w:top w:val="single" w:color="000000" w:sz="4" w:space="0"/>
              <w:left w:val="single" w:color="000000" w:sz="4" w:space="0"/>
              <w:bottom w:val="nil"/>
              <w:right w:val="single" w:color="000000" w:sz="4" w:space="0"/>
            </w:tcBorders>
            <w:shd w:val="clear" w:color="auto" w:fill="FFFFFF"/>
            <w:vAlign w:val="center"/>
          </w:tcPr>
          <w:p>
            <w:pPr>
              <w:rPr>
                <w:color w:val="000000"/>
                <w:sz w:val="18"/>
                <w:szCs w:val="18"/>
              </w:rPr>
            </w:pPr>
            <w:r>
              <w:rPr>
                <w:rFonts w:hint="eastAsia"/>
                <w:color w:val="000000"/>
                <w:sz w:val="18"/>
                <w:szCs w:val="18"/>
              </w:rPr>
              <w:t>提交</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560" w:hRule="atLeast"/>
        </w:trPr>
        <w:tc>
          <w:tcPr>
            <w:tcW w:w="1202"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4060" w:type="dxa"/>
            <w:gridSpan w:val="5"/>
            <w:tcBorders>
              <w:top w:val="nil"/>
              <w:left w:val="single" w:color="000000" w:sz="4" w:space="0"/>
              <w:bottom w:val="nil"/>
              <w:right w:val="single" w:color="000000" w:sz="4" w:space="0"/>
            </w:tcBorders>
            <w:shd w:val="clear" w:color="auto" w:fill="FFFFFF"/>
            <w:vAlign w:val="bottom"/>
          </w:tcPr>
          <w:p>
            <w:pPr>
              <w:rPr>
                <w:color w:val="000000"/>
                <w:sz w:val="18"/>
                <w:szCs w:val="18"/>
              </w:rPr>
            </w:pPr>
            <w:r>
              <w:rPr>
                <w:rFonts w:hint="eastAsia"/>
                <w:color w:val="000000"/>
                <w:sz w:val="18"/>
                <w:szCs w:val="18"/>
              </w:rPr>
              <w:t xml:space="preserve">申报单位：呼伦贝尔市机关事务管理局机关  </w:t>
            </w:r>
          </w:p>
        </w:tc>
        <w:tc>
          <w:tcPr>
            <w:tcW w:w="1416" w:type="dxa"/>
            <w:gridSpan w:val="4"/>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3114" w:type="dxa"/>
            <w:gridSpan w:val="4"/>
            <w:tcBorders>
              <w:top w:val="nil"/>
              <w:left w:val="single" w:color="000000" w:sz="4" w:space="0"/>
              <w:bottom w:val="nil"/>
              <w:right w:val="single" w:color="000000" w:sz="4" w:space="0"/>
            </w:tcBorders>
            <w:shd w:val="clear" w:color="auto" w:fill="FFFFFF"/>
            <w:vAlign w:val="bottom"/>
          </w:tcPr>
          <w:p>
            <w:pPr>
              <w:rPr>
                <w:color w:val="000000"/>
                <w:sz w:val="18"/>
                <w:szCs w:val="18"/>
              </w:rPr>
            </w:pPr>
            <w:r>
              <w:rPr>
                <w:rFonts w:hint="eastAsia"/>
                <w:color w:val="000000"/>
                <w:sz w:val="18"/>
                <w:szCs w:val="18"/>
              </w:rPr>
              <w:t xml:space="preserve">审核人：陈璐  </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560" w:hRule="atLeast"/>
        </w:trPr>
        <w:tc>
          <w:tcPr>
            <w:tcW w:w="1202"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4060" w:type="dxa"/>
            <w:gridSpan w:val="5"/>
            <w:tcBorders>
              <w:top w:val="nil"/>
              <w:left w:val="single" w:color="000000" w:sz="4" w:space="0"/>
              <w:bottom w:val="single" w:color="000000" w:sz="4" w:space="0"/>
              <w:right w:val="single" w:color="000000" w:sz="4" w:space="0"/>
            </w:tcBorders>
            <w:shd w:val="clear" w:color="auto" w:fill="FFFFFF"/>
            <w:vAlign w:val="bottom"/>
          </w:tcPr>
          <w:p>
            <w:pPr>
              <w:rPr>
                <w:color w:val="000000"/>
                <w:sz w:val="18"/>
                <w:szCs w:val="18"/>
              </w:rPr>
            </w:pPr>
            <w:r>
              <w:rPr>
                <w:rFonts w:hint="eastAsia"/>
                <w:color w:val="000000"/>
                <w:sz w:val="18"/>
                <w:szCs w:val="18"/>
              </w:rPr>
              <w:t>单位签章：                                      2020  年   3月   25日</w:t>
            </w:r>
          </w:p>
        </w:tc>
        <w:tc>
          <w:tcPr>
            <w:tcW w:w="1416" w:type="dxa"/>
            <w:gridSpan w:val="4"/>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3114" w:type="dxa"/>
            <w:gridSpan w:val="4"/>
            <w:tcBorders>
              <w:top w:val="nil"/>
              <w:left w:val="single" w:color="000000" w:sz="4" w:space="0"/>
              <w:bottom w:val="single" w:color="000000" w:sz="4" w:space="0"/>
              <w:right w:val="single" w:color="000000" w:sz="4" w:space="0"/>
            </w:tcBorders>
            <w:shd w:val="clear" w:color="auto" w:fill="FFFFFF"/>
            <w:vAlign w:val="bottom"/>
          </w:tcPr>
          <w:p>
            <w:pPr>
              <w:rPr>
                <w:color w:val="000000"/>
                <w:sz w:val="18"/>
                <w:szCs w:val="18"/>
              </w:rPr>
            </w:pPr>
            <w:r>
              <w:rPr>
                <w:rFonts w:hint="eastAsia"/>
                <w:color w:val="000000"/>
                <w:sz w:val="18"/>
                <w:szCs w:val="18"/>
              </w:rPr>
              <w:t>科室签章：                                     2020  年   3月   26日</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1600" w:hRule="atLeast"/>
        </w:trPr>
        <w:tc>
          <w:tcPr>
            <w:tcW w:w="1202"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主管部门负责人</w:t>
            </w:r>
          </w:p>
        </w:tc>
        <w:tc>
          <w:tcPr>
            <w:tcW w:w="4060" w:type="dxa"/>
            <w:gridSpan w:val="5"/>
            <w:tcBorders>
              <w:top w:val="single" w:color="000000" w:sz="4" w:space="0"/>
              <w:left w:val="single" w:color="000000" w:sz="4" w:space="0"/>
              <w:bottom w:val="nil"/>
              <w:right w:val="single" w:color="000000" w:sz="4" w:space="0"/>
            </w:tcBorders>
            <w:shd w:val="clear" w:color="auto" w:fill="FFFFFF"/>
            <w:vAlign w:val="center"/>
          </w:tcPr>
          <w:p>
            <w:pPr>
              <w:rPr>
                <w:color w:val="000000"/>
                <w:sz w:val="18"/>
                <w:szCs w:val="18"/>
              </w:rPr>
            </w:pPr>
          </w:p>
        </w:tc>
        <w:tc>
          <w:tcPr>
            <w:tcW w:w="1416" w:type="dxa"/>
            <w:gridSpan w:val="4"/>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rPr>
                <w:color w:val="000000"/>
                <w:sz w:val="18"/>
                <w:szCs w:val="18"/>
              </w:rPr>
            </w:pPr>
            <w:r>
              <w:rPr>
                <w:rFonts w:hint="eastAsia"/>
                <w:color w:val="000000"/>
                <w:sz w:val="18"/>
                <w:szCs w:val="18"/>
              </w:rPr>
              <w:t>财政绩效中心审核意见</w:t>
            </w:r>
          </w:p>
        </w:tc>
        <w:tc>
          <w:tcPr>
            <w:tcW w:w="3114" w:type="dxa"/>
            <w:gridSpan w:val="4"/>
            <w:tcBorders>
              <w:top w:val="single" w:color="000000" w:sz="4" w:space="0"/>
              <w:left w:val="single" w:color="000000" w:sz="4" w:space="0"/>
              <w:bottom w:val="nil"/>
              <w:right w:val="single" w:color="000000" w:sz="4" w:space="0"/>
            </w:tcBorders>
            <w:shd w:val="clear" w:color="auto" w:fill="FFFFFF"/>
            <w:vAlign w:val="center"/>
          </w:tcPr>
          <w:p>
            <w:pPr>
              <w:rPr>
                <w:color w:val="000000"/>
                <w:sz w:val="18"/>
                <w:szCs w:val="18"/>
              </w:rPr>
            </w:pPr>
            <w:r>
              <w:rPr>
                <w:rFonts w:hint="eastAsia"/>
                <w:color w:val="000000"/>
                <w:sz w:val="18"/>
                <w:szCs w:val="18"/>
              </w:rPr>
              <w:t>同意</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560" w:hRule="atLeast"/>
        </w:trPr>
        <w:tc>
          <w:tcPr>
            <w:tcW w:w="1202"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4060" w:type="dxa"/>
            <w:gridSpan w:val="5"/>
            <w:tcBorders>
              <w:top w:val="nil"/>
              <w:left w:val="single" w:color="000000" w:sz="4" w:space="0"/>
              <w:bottom w:val="nil"/>
              <w:right w:val="single" w:color="000000" w:sz="4" w:space="0"/>
            </w:tcBorders>
            <w:shd w:val="clear" w:color="auto" w:fill="FFFFFF"/>
            <w:vAlign w:val="bottom"/>
          </w:tcPr>
          <w:p>
            <w:pPr>
              <w:rPr>
                <w:color w:val="000000"/>
                <w:sz w:val="18"/>
                <w:szCs w:val="18"/>
              </w:rPr>
            </w:pPr>
            <w:r>
              <w:rPr>
                <w:rFonts w:hint="eastAsia"/>
                <w:color w:val="000000"/>
                <w:sz w:val="18"/>
                <w:szCs w:val="18"/>
              </w:rPr>
              <w:t xml:space="preserve">审核人：            </w:t>
            </w:r>
          </w:p>
        </w:tc>
        <w:tc>
          <w:tcPr>
            <w:tcW w:w="1416" w:type="dxa"/>
            <w:gridSpan w:val="4"/>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3114" w:type="dxa"/>
            <w:gridSpan w:val="4"/>
            <w:tcBorders>
              <w:top w:val="nil"/>
              <w:left w:val="single" w:color="000000" w:sz="4" w:space="0"/>
              <w:bottom w:val="nil"/>
              <w:right w:val="single" w:color="000000" w:sz="4" w:space="0"/>
            </w:tcBorders>
            <w:shd w:val="clear" w:color="auto" w:fill="FFFFFF"/>
            <w:vAlign w:val="bottom"/>
          </w:tcPr>
          <w:p>
            <w:pPr>
              <w:rPr>
                <w:color w:val="000000"/>
                <w:sz w:val="18"/>
                <w:szCs w:val="18"/>
              </w:rPr>
            </w:pPr>
            <w:r>
              <w:rPr>
                <w:rFonts w:hint="eastAsia"/>
                <w:color w:val="000000"/>
                <w:sz w:val="18"/>
                <w:szCs w:val="18"/>
              </w:rPr>
              <w:t>审核人：张秋萸</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560" w:hRule="atLeast"/>
        </w:trPr>
        <w:tc>
          <w:tcPr>
            <w:tcW w:w="1202" w:type="dxa"/>
            <w:gridSpan w:val="3"/>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4060" w:type="dxa"/>
            <w:gridSpan w:val="5"/>
            <w:tcBorders>
              <w:top w:val="nil"/>
              <w:left w:val="single" w:color="000000" w:sz="4" w:space="0"/>
              <w:bottom w:val="single" w:color="000000" w:sz="4" w:space="0"/>
              <w:right w:val="single" w:color="000000" w:sz="4" w:space="0"/>
            </w:tcBorders>
            <w:shd w:val="clear" w:color="auto" w:fill="FFFFFF"/>
            <w:vAlign w:val="bottom"/>
          </w:tcPr>
          <w:p>
            <w:pPr>
              <w:rPr>
                <w:color w:val="000000"/>
                <w:sz w:val="18"/>
                <w:szCs w:val="18"/>
              </w:rPr>
            </w:pPr>
            <w:r>
              <w:rPr>
                <w:rFonts w:hint="eastAsia"/>
                <w:color w:val="000000"/>
                <w:sz w:val="18"/>
                <w:szCs w:val="18"/>
              </w:rPr>
              <w:t>单位签章：                                      年   月   日</w:t>
            </w:r>
          </w:p>
        </w:tc>
        <w:tc>
          <w:tcPr>
            <w:tcW w:w="1416" w:type="dxa"/>
            <w:gridSpan w:val="4"/>
            <w:vMerge w:val="continue"/>
            <w:tcBorders>
              <w:top w:val="single" w:color="000000" w:sz="4" w:space="0"/>
              <w:left w:val="single" w:color="000000" w:sz="4" w:space="0"/>
              <w:bottom w:val="single" w:color="000000" w:sz="4" w:space="0"/>
              <w:right w:val="single" w:color="000000" w:sz="4" w:space="0"/>
            </w:tcBorders>
            <w:vAlign w:val="center"/>
          </w:tcPr>
          <w:p>
            <w:pPr>
              <w:rPr>
                <w:color w:val="000000"/>
                <w:sz w:val="18"/>
                <w:szCs w:val="18"/>
              </w:rPr>
            </w:pPr>
          </w:p>
        </w:tc>
        <w:tc>
          <w:tcPr>
            <w:tcW w:w="3114" w:type="dxa"/>
            <w:gridSpan w:val="4"/>
            <w:tcBorders>
              <w:top w:val="nil"/>
              <w:left w:val="single" w:color="000000" w:sz="4" w:space="0"/>
              <w:bottom w:val="single" w:color="000000" w:sz="4" w:space="0"/>
              <w:right w:val="single" w:color="000000" w:sz="4" w:space="0"/>
            </w:tcBorders>
            <w:shd w:val="clear" w:color="auto" w:fill="FFFFFF"/>
            <w:vAlign w:val="bottom"/>
          </w:tcPr>
          <w:p>
            <w:pPr>
              <w:rPr>
                <w:color w:val="000000"/>
                <w:sz w:val="18"/>
                <w:szCs w:val="18"/>
              </w:rPr>
            </w:pPr>
            <w:r>
              <w:rPr>
                <w:rFonts w:hint="eastAsia"/>
                <w:color w:val="000000"/>
                <w:sz w:val="18"/>
                <w:szCs w:val="18"/>
              </w:rPr>
              <w:t>科室签章：                                     2020  年   3月   26日</w:t>
            </w:r>
          </w:p>
        </w:tc>
        <w:tc>
          <w:tcPr>
            <w:tcW w:w="1848" w:type="dxa"/>
            <w:tcBorders>
              <w:top w:val="nil"/>
              <w:left w:val="nil"/>
              <w:bottom w:val="nil"/>
              <w:right w:val="nil"/>
            </w:tcBorders>
            <w:shd w:val="clear" w:color="auto" w:fill="auto"/>
            <w:vAlign w:val="center"/>
          </w:tcPr>
          <w:p>
            <w:pPr>
              <w:jc w:val="center"/>
              <w:rPr>
                <w:color w:val="000000"/>
              </w:rPr>
            </w:pPr>
          </w:p>
        </w:tc>
      </w:tr>
      <w:tr>
        <w:tblPrEx>
          <w:tblCellMar>
            <w:top w:w="0" w:type="dxa"/>
            <w:left w:w="108" w:type="dxa"/>
            <w:bottom w:w="0" w:type="dxa"/>
            <w:right w:w="108" w:type="dxa"/>
          </w:tblCellMar>
        </w:tblPrEx>
        <w:trPr>
          <w:trHeight w:val="312" w:hRule="atLeast"/>
        </w:trPr>
        <w:tc>
          <w:tcPr>
            <w:tcW w:w="396" w:type="dxa"/>
            <w:tcBorders>
              <w:top w:val="nil"/>
              <w:left w:val="nil"/>
              <w:bottom w:val="nil"/>
              <w:right w:val="nil"/>
            </w:tcBorders>
            <w:shd w:val="clear" w:color="auto" w:fill="auto"/>
            <w:vAlign w:val="center"/>
          </w:tcPr>
          <w:p>
            <w:pPr>
              <w:jc w:val="center"/>
              <w:rPr>
                <w:color w:val="000000"/>
              </w:rPr>
            </w:pPr>
          </w:p>
        </w:tc>
        <w:tc>
          <w:tcPr>
            <w:tcW w:w="407" w:type="dxa"/>
            <w:tcBorders>
              <w:top w:val="nil"/>
              <w:left w:val="nil"/>
              <w:bottom w:val="nil"/>
              <w:right w:val="nil"/>
            </w:tcBorders>
            <w:shd w:val="clear" w:color="auto" w:fill="auto"/>
            <w:vAlign w:val="center"/>
          </w:tcPr>
          <w:p>
            <w:pPr>
              <w:jc w:val="center"/>
              <w:rPr>
                <w:color w:val="000000"/>
              </w:rPr>
            </w:pPr>
          </w:p>
        </w:tc>
        <w:tc>
          <w:tcPr>
            <w:tcW w:w="399" w:type="dxa"/>
            <w:tcBorders>
              <w:top w:val="nil"/>
              <w:left w:val="nil"/>
              <w:bottom w:val="nil"/>
              <w:right w:val="nil"/>
            </w:tcBorders>
            <w:shd w:val="clear" w:color="auto" w:fill="auto"/>
            <w:vAlign w:val="center"/>
          </w:tcPr>
          <w:p>
            <w:pPr>
              <w:jc w:val="center"/>
              <w:rPr>
                <w:color w:val="000000"/>
              </w:rPr>
            </w:pPr>
          </w:p>
        </w:tc>
        <w:tc>
          <w:tcPr>
            <w:tcW w:w="1034" w:type="dxa"/>
            <w:tcBorders>
              <w:top w:val="nil"/>
              <w:left w:val="nil"/>
              <w:bottom w:val="nil"/>
              <w:right w:val="nil"/>
            </w:tcBorders>
            <w:shd w:val="clear" w:color="auto" w:fill="auto"/>
            <w:vAlign w:val="center"/>
          </w:tcPr>
          <w:p>
            <w:pPr>
              <w:jc w:val="center"/>
              <w:rPr>
                <w:color w:val="000000"/>
              </w:rPr>
            </w:pPr>
          </w:p>
        </w:tc>
        <w:tc>
          <w:tcPr>
            <w:tcW w:w="1196" w:type="dxa"/>
            <w:tcBorders>
              <w:top w:val="nil"/>
              <w:left w:val="nil"/>
              <w:bottom w:val="nil"/>
              <w:right w:val="nil"/>
            </w:tcBorders>
            <w:shd w:val="clear" w:color="auto" w:fill="auto"/>
            <w:vAlign w:val="center"/>
          </w:tcPr>
          <w:p>
            <w:pPr>
              <w:jc w:val="center"/>
              <w:rPr>
                <w:color w:val="000000"/>
              </w:rPr>
            </w:pPr>
          </w:p>
        </w:tc>
        <w:tc>
          <w:tcPr>
            <w:tcW w:w="588" w:type="dxa"/>
            <w:tcBorders>
              <w:top w:val="nil"/>
              <w:left w:val="nil"/>
              <w:bottom w:val="nil"/>
              <w:right w:val="nil"/>
            </w:tcBorders>
            <w:shd w:val="clear" w:color="auto" w:fill="auto"/>
            <w:vAlign w:val="center"/>
          </w:tcPr>
          <w:p>
            <w:pPr>
              <w:jc w:val="center"/>
              <w:rPr>
                <w:color w:val="000000"/>
              </w:rPr>
            </w:pPr>
          </w:p>
        </w:tc>
        <w:tc>
          <w:tcPr>
            <w:tcW w:w="576" w:type="dxa"/>
            <w:tcBorders>
              <w:top w:val="nil"/>
              <w:left w:val="nil"/>
              <w:bottom w:val="nil"/>
              <w:right w:val="nil"/>
            </w:tcBorders>
            <w:shd w:val="clear" w:color="auto" w:fill="auto"/>
            <w:vAlign w:val="center"/>
          </w:tcPr>
          <w:p>
            <w:pPr>
              <w:jc w:val="center"/>
              <w:rPr>
                <w:color w:val="000000"/>
              </w:rPr>
            </w:pPr>
          </w:p>
        </w:tc>
        <w:tc>
          <w:tcPr>
            <w:tcW w:w="666" w:type="dxa"/>
            <w:tcBorders>
              <w:top w:val="nil"/>
              <w:left w:val="nil"/>
              <w:bottom w:val="nil"/>
              <w:right w:val="nil"/>
            </w:tcBorders>
            <w:shd w:val="clear" w:color="auto" w:fill="auto"/>
            <w:vAlign w:val="center"/>
          </w:tcPr>
          <w:p>
            <w:pPr>
              <w:jc w:val="center"/>
              <w:rPr>
                <w:color w:val="000000"/>
              </w:rPr>
            </w:pPr>
          </w:p>
        </w:tc>
        <w:tc>
          <w:tcPr>
            <w:tcW w:w="271" w:type="dxa"/>
            <w:tcBorders>
              <w:top w:val="nil"/>
              <w:left w:val="nil"/>
              <w:bottom w:val="nil"/>
              <w:right w:val="nil"/>
            </w:tcBorders>
            <w:shd w:val="clear" w:color="auto" w:fill="auto"/>
            <w:vAlign w:val="center"/>
          </w:tcPr>
          <w:p>
            <w:pPr>
              <w:jc w:val="center"/>
              <w:rPr>
                <w:color w:val="000000"/>
              </w:rPr>
            </w:pPr>
          </w:p>
        </w:tc>
        <w:tc>
          <w:tcPr>
            <w:tcW w:w="395" w:type="dxa"/>
            <w:tcBorders>
              <w:top w:val="nil"/>
              <w:left w:val="nil"/>
              <w:bottom w:val="nil"/>
              <w:right w:val="nil"/>
            </w:tcBorders>
            <w:shd w:val="clear" w:color="auto" w:fill="auto"/>
            <w:vAlign w:val="center"/>
          </w:tcPr>
          <w:p>
            <w:pPr>
              <w:jc w:val="center"/>
              <w:rPr>
                <w:color w:val="000000"/>
              </w:rPr>
            </w:pPr>
          </w:p>
        </w:tc>
        <w:tc>
          <w:tcPr>
            <w:tcW w:w="383" w:type="dxa"/>
            <w:tcBorders>
              <w:top w:val="nil"/>
              <w:left w:val="nil"/>
              <w:bottom w:val="nil"/>
              <w:right w:val="nil"/>
            </w:tcBorders>
            <w:shd w:val="clear" w:color="auto" w:fill="auto"/>
            <w:vAlign w:val="center"/>
          </w:tcPr>
          <w:p>
            <w:pPr>
              <w:jc w:val="center"/>
              <w:rPr>
                <w:color w:val="000000"/>
              </w:rPr>
            </w:pPr>
          </w:p>
        </w:tc>
        <w:tc>
          <w:tcPr>
            <w:tcW w:w="367" w:type="dxa"/>
            <w:tcBorders>
              <w:top w:val="nil"/>
              <w:left w:val="nil"/>
              <w:bottom w:val="nil"/>
              <w:right w:val="nil"/>
            </w:tcBorders>
            <w:shd w:val="clear" w:color="auto" w:fill="auto"/>
            <w:vAlign w:val="center"/>
          </w:tcPr>
          <w:p>
            <w:pPr>
              <w:jc w:val="center"/>
              <w:rPr>
                <w:color w:val="000000"/>
              </w:rPr>
            </w:pPr>
          </w:p>
        </w:tc>
        <w:tc>
          <w:tcPr>
            <w:tcW w:w="846" w:type="dxa"/>
            <w:tcBorders>
              <w:top w:val="nil"/>
              <w:left w:val="nil"/>
              <w:bottom w:val="nil"/>
              <w:right w:val="nil"/>
            </w:tcBorders>
            <w:shd w:val="clear" w:color="auto" w:fill="auto"/>
            <w:vAlign w:val="center"/>
          </w:tcPr>
          <w:p>
            <w:pPr>
              <w:jc w:val="center"/>
              <w:rPr>
                <w:color w:val="000000"/>
              </w:rPr>
            </w:pPr>
          </w:p>
        </w:tc>
        <w:tc>
          <w:tcPr>
            <w:tcW w:w="756" w:type="dxa"/>
            <w:tcBorders>
              <w:top w:val="nil"/>
              <w:left w:val="nil"/>
              <w:bottom w:val="nil"/>
              <w:right w:val="nil"/>
            </w:tcBorders>
            <w:shd w:val="clear" w:color="auto" w:fill="auto"/>
            <w:vAlign w:val="center"/>
          </w:tcPr>
          <w:p>
            <w:pPr>
              <w:jc w:val="center"/>
              <w:rPr>
                <w:color w:val="000000"/>
              </w:rPr>
            </w:pPr>
          </w:p>
        </w:tc>
        <w:tc>
          <w:tcPr>
            <w:tcW w:w="756" w:type="dxa"/>
            <w:tcBorders>
              <w:top w:val="nil"/>
              <w:left w:val="nil"/>
              <w:bottom w:val="nil"/>
              <w:right w:val="nil"/>
            </w:tcBorders>
            <w:shd w:val="clear" w:color="auto" w:fill="auto"/>
            <w:vAlign w:val="center"/>
          </w:tcPr>
          <w:p>
            <w:pPr>
              <w:jc w:val="center"/>
              <w:rPr>
                <w:color w:val="000000"/>
              </w:rPr>
            </w:pPr>
          </w:p>
        </w:tc>
        <w:tc>
          <w:tcPr>
            <w:tcW w:w="756" w:type="dxa"/>
            <w:tcBorders>
              <w:top w:val="nil"/>
              <w:left w:val="nil"/>
              <w:bottom w:val="nil"/>
              <w:right w:val="nil"/>
            </w:tcBorders>
            <w:shd w:val="clear" w:color="auto" w:fill="auto"/>
            <w:vAlign w:val="center"/>
          </w:tcPr>
          <w:p>
            <w:pPr>
              <w:jc w:val="center"/>
              <w:rPr>
                <w:color w:val="000000"/>
              </w:rPr>
            </w:pPr>
          </w:p>
        </w:tc>
        <w:tc>
          <w:tcPr>
            <w:tcW w:w="1848" w:type="dxa"/>
            <w:tcBorders>
              <w:top w:val="nil"/>
              <w:left w:val="nil"/>
              <w:bottom w:val="nil"/>
              <w:right w:val="nil"/>
            </w:tcBorders>
            <w:shd w:val="clear" w:color="auto" w:fill="auto"/>
            <w:vAlign w:val="center"/>
          </w:tcPr>
          <w:p>
            <w:pPr>
              <w:jc w:val="center"/>
              <w:rPr>
                <w:color w:val="000000"/>
              </w:rPr>
            </w:pPr>
          </w:p>
        </w:tc>
      </w:tr>
    </w:tbl>
    <w:p>
      <w:pPr>
        <w:rPr>
          <w:rFonts w:hint="eastAsia"/>
        </w:rPr>
      </w:pPr>
    </w:p>
    <w:p>
      <w:pPr>
        <w:rPr>
          <w:rFonts w:hint="eastAsia"/>
        </w:rPr>
      </w:pPr>
    </w:p>
    <w:p>
      <w:pPr>
        <w:autoSpaceDE w:val="0"/>
        <w:autoSpaceDN w:val="0"/>
        <w:adjustRightInd w:val="0"/>
        <w:spacing w:before="100" w:beforeAutospacing="1" w:after="100" w:afterAutospacing="1" w:line="580" w:lineRule="exact"/>
        <w:rPr>
          <w:rFonts w:ascii="仿宋" w:hAnsi="仿宋" w:eastAsia="仿宋"/>
          <w:sz w:val="32"/>
          <w:szCs w:val="32"/>
        </w:rPr>
      </w:pPr>
      <w:r>
        <w:rPr>
          <w:rFonts w:ascii="仿宋" w:hAnsi="仿宋" w:eastAsia="仿宋"/>
          <w:sz w:val="32"/>
          <w:szCs w:val="32"/>
        </w:rPr>
        <w:t>特殊说明：本单位政协会议室改造项目350万元，因2019年未开工，无法对该项目进行自评。</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ascii="仿宋_GB2312" w:hAnsi="仿宋_GB2312"/>
          <w:sz w:val="32"/>
          <w:szCs w:val="32"/>
        </w:rPr>
        <w:t>四、其他重要事项的情况说明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ascii="仿宋_GB2312" w:hAnsi="仿宋_GB2312"/>
          <w:sz w:val="32"/>
          <w:szCs w:val="32"/>
        </w:rPr>
        <w:t>（一）机关运行经费支出情况</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color w:val="000000"/>
          <w:sz w:val="32"/>
          <w:szCs w:val="32"/>
        </w:rPr>
        <w:t>本部门2019年度机关运行经费支出58.13万元，比2018年增加58.13万元，增长0.00%。主要原因是：本单位首次作为主管部门进行决算公开。</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ascii="仿宋_GB2312" w:hAnsi="仿宋_GB2312"/>
          <w:sz w:val="32"/>
          <w:szCs w:val="32"/>
        </w:rPr>
        <w:t>（二）政府采购支出情况</w:t>
      </w:r>
    </w:p>
    <w:p>
      <w:pPr>
        <w:autoSpaceDE w:val="0"/>
        <w:autoSpaceDN w:val="0"/>
        <w:adjustRightInd w:val="0"/>
        <w:spacing w:before="100" w:beforeAutospacing="1" w:after="100" w:afterAutospacing="1" w:line="580" w:lineRule="exact"/>
        <w:ind w:firstLine="600"/>
        <w:rPr>
          <w:rFonts w:ascii="仿宋" w:hAnsi="仿宋" w:eastAsia="仿宋" w:cs="Times New Roman"/>
          <w:color w:val="000000"/>
          <w:sz w:val="32"/>
          <w:szCs w:val="32"/>
        </w:rPr>
      </w:pPr>
      <w:r>
        <w:rPr>
          <w:rFonts w:ascii="仿宋" w:hAnsi="仿宋" w:eastAsia="仿宋"/>
          <w:color w:val="000000"/>
          <w:sz w:val="32"/>
          <w:szCs w:val="32"/>
        </w:rPr>
        <w:t>本部门2019年度政府采购支出合计1,786.17万元，其中：政府采购货物支出106.49万元</w:t>
      </w:r>
      <w:r>
        <w:rPr>
          <w:rFonts w:ascii="仿宋" w:hAnsi="仿宋" w:eastAsia="仿宋" w:cs="Times New Roman"/>
          <w:color w:val="000000"/>
          <w:sz w:val="32"/>
          <w:szCs w:val="32"/>
        </w:rPr>
        <w:t>,</w:t>
      </w:r>
      <w:r>
        <w:rPr>
          <w:rFonts w:ascii="仿宋" w:hAnsi="仿宋" w:eastAsia="仿宋"/>
          <w:color w:val="000000"/>
          <w:sz w:val="32"/>
          <w:szCs w:val="32"/>
        </w:rPr>
        <w:t>比2018年增加106.49万元，增长0.00%，主要原因是：本单位首次作为主管部门进行决算公开；政府采购工程支出424.97万元，比2018年增加424.97万元，增长0.00%，主要原因是：本单位首次作为主管部门进行决算公开；政府采购服务支出1,254.71万元，比2018年增加1,254.71万元，增长0.00%，主要原因是：本单位首次作为主管部门进行决算公开。授予中小企业合同金额1,786.17万元，占政府采购支出总额的100%。其中：授予小微企业合同金额1,786.17万元，占政府采购支出总额的100%。</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sz w:val="32"/>
          <w:szCs w:val="32"/>
        </w:rPr>
        <w:t>（三）国有资产占用情况</w:t>
      </w:r>
    </w:p>
    <w:p>
      <w:pPr>
        <w:autoSpaceDE w:val="0"/>
        <w:autoSpaceDN w:val="0"/>
        <w:adjustRightInd w:val="0"/>
        <w:spacing w:before="100" w:beforeAutospacing="1" w:after="100" w:afterAutospacing="1" w:line="580" w:lineRule="exact"/>
        <w:ind w:firstLine="600"/>
        <w:rPr>
          <w:rFonts w:ascii="仿宋" w:hAnsi="仿宋" w:eastAsia="仿宋" w:cs="Times New Roman"/>
          <w:color w:val="000000"/>
          <w:sz w:val="32"/>
          <w:szCs w:val="32"/>
        </w:rPr>
      </w:pPr>
      <w:r>
        <w:rPr>
          <w:rFonts w:ascii="仿宋" w:hAnsi="仿宋" w:eastAsia="仿宋"/>
          <w:color w:val="000000"/>
          <w:sz w:val="32"/>
          <w:szCs w:val="32"/>
        </w:rPr>
        <w:t>截至2019年12月31日，本部门共有车辆13辆，其中，副部（省）级及以上领导用车0辆</w:t>
      </w:r>
      <w:r>
        <w:rPr>
          <w:rFonts w:ascii="仿宋" w:hAnsi="仿宋" w:eastAsia="仿宋" w:cs="Times New Roman"/>
          <w:color w:val="000000"/>
          <w:sz w:val="32"/>
          <w:szCs w:val="32"/>
        </w:rPr>
        <w:t>,</w:t>
      </w:r>
      <w:r>
        <w:rPr>
          <w:rFonts w:ascii="仿宋" w:hAnsi="仿宋" w:eastAsia="仿宋"/>
          <w:color w:val="000000"/>
          <w:sz w:val="32"/>
          <w:szCs w:val="32"/>
        </w:rPr>
        <w:t>主要领导干部用车0辆，机要通信用车1辆，主要用于：本单位机要通信;应急保障用车0辆，执法执勤用车11辆</w:t>
      </w:r>
      <w:r>
        <w:rPr>
          <w:rFonts w:ascii="仿宋" w:hAnsi="仿宋" w:eastAsia="仿宋" w:cs="Times New Roman"/>
          <w:color w:val="000000"/>
          <w:sz w:val="32"/>
          <w:szCs w:val="32"/>
        </w:rPr>
        <w:t>,</w:t>
      </w:r>
      <w:r>
        <w:rPr>
          <w:rFonts w:ascii="仿宋" w:hAnsi="仿宋" w:eastAsia="仿宋"/>
          <w:color w:val="000000"/>
          <w:sz w:val="32"/>
          <w:szCs w:val="32"/>
        </w:rPr>
        <w:t>主要用于：本单位执法执勤；特种专业技术用车0辆</w:t>
      </w:r>
      <w:r>
        <w:rPr>
          <w:rFonts w:ascii="仿宋" w:hAnsi="仿宋" w:eastAsia="仿宋" w:cs="Times New Roman"/>
          <w:color w:val="000000"/>
          <w:sz w:val="32"/>
          <w:szCs w:val="32"/>
        </w:rPr>
        <w:t>,</w:t>
      </w:r>
      <w:r>
        <w:rPr>
          <w:rFonts w:ascii="仿宋" w:hAnsi="仿宋" w:eastAsia="仿宋"/>
          <w:color w:val="000000"/>
          <w:sz w:val="32"/>
          <w:szCs w:val="32"/>
        </w:rPr>
        <w:t>离退休干部用车0辆</w:t>
      </w:r>
      <w:r>
        <w:rPr>
          <w:rFonts w:ascii="仿宋" w:hAnsi="仿宋" w:eastAsia="仿宋" w:cs="Times New Roman"/>
          <w:color w:val="000000"/>
          <w:sz w:val="32"/>
          <w:szCs w:val="32"/>
        </w:rPr>
        <w:t>,</w:t>
      </w:r>
      <w:r>
        <w:rPr>
          <w:rFonts w:ascii="仿宋" w:hAnsi="仿宋" w:eastAsia="仿宋"/>
          <w:color w:val="000000"/>
          <w:sz w:val="32"/>
          <w:szCs w:val="32"/>
        </w:rPr>
        <w:t>其他用车1辆，主要是用于公务出行。单位价值50万元以上通用设备0台（套），比2018年增加0.00台（套），单位价值100万元以上专用设备0台（套），比2018年增加0.00台（套）。</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cs="Times New Roman"/>
          <w:sz w:val="32"/>
          <w:szCs w:val="32"/>
        </w:rPr>
        <w:t xml:space="preserve"> </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b/>
          <w:bCs/>
          <w:sz w:val="32"/>
          <w:szCs w:val="32"/>
        </w:rPr>
      </w:pPr>
      <w:r>
        <w:rPr>
          <w:rFonts w:ascii="仿宋_GB2312" w:hAnsi="仿宋_GB2312"/>
          <w:b/>
          <w:bCs/>
          <w:sz w:val="32"/>
          <w:szCs w:val="32"/>
        </w:rPr>
        <w:t>第三部分</w:t>
      </w:r>
      <w:r>
        <w:rPr>
          <w:rFonts w:ascii="仿宋_GB2312" w:hAnsi="Times New Roman"/>
          <w:b/>
          <w:bCs/>
          <w:sz w:val="32"/>
          <w:szCs w:val="32"/>
        </w:rPr>
        <w:t xml:space="preserve"> </w:t>
      </w:r>
      <w:r>
        <w:rPr>
          <w:rFonts w:ascii="仿宋_GB2312" w:hAnsi="仿宋_GB2312"/>
          <w:b/>
          <w:bCs/>
          <w:sz w:val="32"/>
          <w:szCs w:val="32"/>
        </w:rPr>
        <w:t>名词解释</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bookmarkStart w:id="0" w:name="_GoBack"/>
      <w:bookmarkEnd w:id="0"/>
      <w:r>
        <w:rPr>
          <w:rFonts w:ascii="仿宋" w:hAnsi="仿宋" w:eastAsia="仿宋"/>
          <w:sz w:val="32"/>
          <w:szCs w:val="32"/>
        </w:rPr>
        <w:t>（一）财政拨款收入：指本年度从本级财政部门取得的财政拨款，包括一般公共预算财政拨款和政府性基金预算财政拨款。</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sz w:val="32"/>
          <w:szCs w:val="32"/>
        </w:rPr>
        <w:t>（二）事业收入：指事业单位开展专业业务活动及其辅助活动取得的收入；事业单位收到的财政专户实际核拨的教育收费等资金。</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sz w:val="32"/>
          <w:szCs w:val="32"/>
        </w:rPr>
        <w:t>（三）经营收入：指事业单位在专业业务活动及其辅助活动之外开展非独立核算经营活动取得的收入。</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sz w:val="32"/>
          <w:szCs w:val="32"/>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sz w:val="32"/>
          <w:szCs w:val="32"/>
        </w:rPr>
        <w:t>（五）用事业基金弥补收支差额：指事业单位在当年的“财政拨款收入</w:t>
      </w:r>
      <w:r>
        <w:rPr>
          <w:rFonts w:ascii="仿宋" w:hAnsi="仿宋" w:eastAsia="仿宋" w:cs="Times New Roman"/>
          <w:sz w:val="32"/>
          <w:szCs w:val="32"/>
        </w:rPr>
        <w:t>”</w:t>
      </w:r>
      <w:r>
        <w:rPr>
          <w:rFonts w:ascii="仿宋" w:hAnsi="仿宋" w:eastAsia="仿宋"/>
          <w:sz w:val="32"/>
          <w:szCs w:val="32"/>
        </w:rPr>
        <w:t>、</w:t>
      </w:r>
      <w:r>
        <w:rPr>
          <w:rFonts w:ascii="仿宋" w:hAnsi="仿宋" w:eastAsia="仿宋" w:cs="Times New Roman"/>
          <w:sz w:val="32"/>
          <w:szCs w:val="32"/>
        </w:rPr>
        <w:t>“</w:t>
      </w:r>
      <w:r>
        <w:rPr>
          <w:rFonts w:ascii="仿宋" w:hAnsi="仿宋" w:eastAsia="仿宋"/>
          <w:sz w:val="32"/>
          <w:szCs w:val="32"/>
        </w:rPr>
        <w:t>财政拨款结转和结余资金</w:t>
      </w:r>
      <w:r>
        <w:rPr>
          <w:rFonts w:ascii="仿宋" w:hAnsi="仿宋" w:eastAsia="仿宋" w:cs="Times New Roman"/>
          <w:sz w:val="32"/>
          <w:szCs w:val="32"/>
        </w:rPr>
        <w:t>”</w:t>
      </w:r>
      <w:r>
        <w:rPr>
          <w:rFonts w:ascii="仿宋" w:hAnsi="仿宋" w:eastAsia="仿宋"/>
          <w:sz w:val="32"/>
          <w:szCs w:val="32"/>
        </w:rPr>
        <w:t>、</w:t>
      </w:r>
      <w:r>
        <w:rPr>
          <w:rFonts w:ascii="仿宋" w:hAnsi="仿宋" w:eastAsia="仿宋" w:cs="Times New Roman"/>
          <w:sz w:val="32"/>
          <w:szCs w:val="32"/>
        </w:rPr>
        <w:t>“</w:t>
      </w:r>
      <w:r>
        <w:rPr>
          <w:rFonts w:ascii="仿宋" w:hAnsi="仿宋" w:eastAsia="仿宋"/>
          <w:sz w:val="32"/>
          <w:szCs w:val="32"/>
        </w:rPr>
        <w:t>事业收入</w:t>
      </w:r>
      <w:r>
        <w:rPr>
          <w:rFonts w:ascii="仿宋" w:hAnsi="仿宋" w:eastAsia="仿宋" w:cs="Times New Roman"/>
          <w:sz w:val="32"/>
          <w:szCs w:val="32"/>
        </w:rPr>
        <w:t>”</w:t>
      </w:r>
      <w:r>
        <w:rPr>
          <w:rFonts w:ascii="仿宋" w:hAnsi="仿宋" w:eastAsia="仿宋"/>
          <w:sz w:val="32"/>
          <w:szCs w:val="32"/>
        </w:rPr>
        <w:t>、</w:t>
      </w:r>
      <w:r>
        <w:rPr>
          <w:rFonts w:ascii="仿宋" w:hAnsi="仿宋" w:eastAsia="仿宋" w:cs="Times New Roman"/>
          <w:sz w:val="32"/>
          <w:szCs w:val="32"/>
        </w:rPr>
        <w:t>“</w:t>
      </w:r>
      <w:r>
        <w:rPr>
          <w:rFonts w:ascii="仿宋" w:hAnsi="仿宋" w:eastAsia="仿宋"/>
          <w:sz w:val="32"/>
          <w:szCs w:val="32"/>
        </w:rPr>
        <w:t>事业单位经营收入</w:t>
      </w:r>
      <w:r>
        <w:rPr>
          <w:rFonts w:ascii="仿宋" w:hAnsi="仿宋" w:eastAsia="仿宋" w:cs="Times New Roman"/>
          <w:sz w:val="32"/>
          <w:szCs w:val="32"/>
        </w:rPr>
        <w:t>”</w:t>
      </w:r>
      <w:r>
        <w:rPr>
          <w:rFonts w:ascii="仿宋" w:hAnsi="仿宋" w:eastAsia="仿宋"/>
          <w:sz w:val="32"/>
          <w:szCs w:val="32"/>
        </w:rPr>
        <w:t>、</w:t>
      </w:r>
      <w:r>
        <w:rPr>
          <w:rFonts w:ascii="仿宋" w:hAnsi="仿宋" w:eastAsia="仿宋" w:cs="Times New Roman"/>
          <w:sz w:val="32"/>
          <w:szCs w:val="32"/>
        </w:rPr>
        <w:t>“</w:t>
      </w:r>
      <w:r>
        <w:rPr>
          <w:rFonts w:ascii="仿宋" w:hAnsi="仿宋" w:eastAsia="仿宋"/>
          <w:sz w:val="32"/>
          <w:szCs w:val="32"/>
        </w:rPr>
        <w:t>其他收入</w:t>
      </w:r>
      <w:r>
        <w:rPr>
          <w:rFonts w:ascii="仿宋" w:hAnsi="仿宋" w:eastAsia="仿宋" w:cs="Times New Roman"/>
          <w:sz w:val="32"/>
          <w:szCs w:val="32"/>
        </w:rPr>
        <w:t>”</w:t>
      </w:r>
      <w:r>
        <w:rPr>
          <w:rFonts w:ascii="仿宋" w:hAnsi="仿宋" w:eastAsia="仿宋"/>
          <w:sz w:val="32"/>
          <w:szCs w:val="32"/>
        </w:rPr>
        <w:t>不足以安排当年支出的情况下，使用以前年度累积的事业基金（当年收支相抵后按国家规定提取、用于弥补以后年度收支差额的基金）弥补本年收支缺口的资金。</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sz w:val="32"/>
          <w:szCs w:val="32"/>
        </w:rPr>
        <w:t>（六）年初结转和结余：</w:t>
      </w:r>
      <w:r>
        <w:rPr>
          <w:rFonts w:ascii="仿宋" w:hAnsi="仿宋" w:eastAsia="仿宋"/>
          <w:sz w:val="32"/>
          <w:szCs w:val="32"/>
          <w:highlight w:val="white"/>
        </w:rPr>
        <w:t>指以前年度支出预算因客观条件变化未执行完毕、结转到本年度按有关规定继续使用的资金。</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sz w:val="32"/>
          <w:szCs w:val="32"/>
        </w:rPr>
        <w:t>（七）结余分配</w:t>
      </w:r>
      <w:r>
        <w:rPr>
          <w:rFonts w:ascii="仿宋" w:hAnsi="仿宋" w:eastAsia="仿宋"/>
          <w:sz w:val="32"/>
          <w:szCs w:val="32"/>
          <w:highlight w:val="white"/>
        </w:rPr>
        <w:t>：指事业单位按照会计制度规定缴纳的所得税以及从非财政拨款结余中提取的职工福利基金、事业基金等。</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sz w:val="32"/>
          <w:szCs w:val="32"/>
        </w:rPr>
        <w:t>（八）年末结转和结余</w:t>
      </w:r>
      <w:r>
        <w:rPr>
          <w:rFonts w:ascii="仿宋" w:hAnsi="仿宋" w:eastAsia="仿宋"/>
          <w:sz w:val="32"/>
          <w:szCs w:val="32"/>
          <w:highlight w:val="white"/>
        </w:rPr>
        <w:t>：指单位本年度或以前年度预算安排、因客观条件发生变化未全部执行或未执行，结转到以后年度继续使用的资金，或项目已完成等产生的结余资金。</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sz w:val="32"/>
          <w:szCs w:val="32"/>
        </w:rPr>
        <w:t>（九）基本支出：指为保障机构正常运转、完成日常工作任务而发生的人员经费和公用经费。其中：人员经费指政府收支分类经济科目中的</w:t>
      </w:r>
      <w:r>
        <w:rPr>
          <w:rFonts w:ascii="仿宋" w:hAnsi="仿宋" w:eastAsia="仿宋" w:cs="Times New Roman"/>
          <w:sz w:val="32"/>
          <w:szCs w:val="32"/>
        </w:rPr>
        <w:t>“</w:t>
      </w:r>
      <w:r>
        <w:rPr>
          <w:rFonts w:ascii="仿宋" w:hAnsi="仿宋" w:eastAsia="仿宋"/>
          <w:sz w:val="32"/>
          <w:szCs w:val="32"/>
        </w:rPr>
        <w:t>工资福利支出</w:t>
      </w:r>
      <w:r>
        <w:rPr>
          <w:rFonts w:ascii="仿宋" w:hAnsi="仿宋" w:eastAsia="仿宋" w:cs="Times New Roman"/>
          <w:sz w:val="32"/>
          <w:szCs w:val="32"/>
        </w:rPr>
        <w:t>”</w:t>
      </w:r>
      <w:r>
        <w:rPr>
          <w:rFonts w:ascii="仿宋" w:hAnsi="仿宋" w:eastAsia="仿宋"/>
          <w:sz w:val="32"/>
          <w:szCs w:val="32"/>
        </w:rPr>
        <w:t>和</w:t>
      </w:r>
      <w:r>
        <w:rPr>
          <w:rFonts w:ascii="仿宋" w:hAnsi="仿宋" w:eastAsia="仿宋" w:cs="Times New Roman"/>
          <w:sz w:val="32"/>
          <w:szCs w:val="32"/>
        </w:rPr>
        <w:t>“</w:t>
      </w:r>
      <w:r>
        <w:rPr>
          <w:rFonts w:ascii="仿宋" w:hAnsi="仿宋" w:eastAsia="仿宋"/>
          <w:sz w:val="32"/>
          <w:szCs w:val="32"/>
        </w:rPr>
        <w:t>对个人和家庭的补助</w:t>
      </w:r>
      <w:r>
        <w:rPr>
          <w:rFonts w:ascii="仿宋" w:hAnsi="仿宋" w:eastAsia="仿宋" w:cs="Times New Roman"/>
          <w:sz w:val="32"/>
          <w:szCs w:val="32"/>
        </w:rPr>
        <w:t>”</w:t>
      </w:r>
      <w:r>
        <w:rPr>
          <w:rFonts w:ascii="仿宋" w:hAnsi="仿宋" w:eastAsia="仿宋"/>
          <w:sz w:val="32"/>
          <w:szCs w:val="32"/>
        </w:rPr>
        <w:t>；公用经费指政府收支分类经济科目中除</w:t>
      </w:r>
      <w:r>
        <w:rPr>
          <w:rFonts w:ascii="仿宋" w:hAnsi="仿宋" w:eastAsia="仿宋" w:cs="Times New Roman"/>
          <w:sz w:val="32"/>
          <w:szCs w:val="32"/>
        </w:rPr>
        <w:t>“</w:t>
      </w:r>
      <w:r>
        <w:rPr>
          <w:rFonts w:ascii="仿宋" w:hAnsi="仿宋" w:eastAsia="仿宋"/>
          <w:sz w:val="32"/>
          <w:szCs w:val="32"/>
        </w:rPr>
        <w:t>工资福利支出</w:t>
      </w:r>
      <w:r>
        <w:rPr>
          <w:rFonts w:ascii="仿宋" w:hAnsi="仿宋" w:eastAsia="仿宋" w:cs="Times New Roman"/>
          <w:sz w:val="32"/>
          <w:szCs w:val="32"/>
        </w:rPr>
        <w:t>”</w:t>
      </w:r>
      <w:r>
        <w:rPr>
          <w:rFonts w:ascii="仿宋" w:hAnsi="仿宋" w:eastAsia="仿宋"/>
          <w:sz w:val="32"/>
          <w:szCs w:val="32"/>
        </w:rPr>
        <w:t>和</w:t>
      </w:r>
      <w:r>
        <w:rPr>
          <w:rFonts w:ascii="仿宋" w:hAnsi="仿宋" w:eastAsia="仿宋" w:cs="Times New Roman"/>
          <w:sz w:val="32"/>
          <w:szCs w:val="32"/>
        </w:rPr>
        <w:t>“</w:t>
      </w:r>
      <w:r>
        <w:rPr>
          <w:rFonts w:ascii="仿宋" w:hAnsi="仿宋" w:eastAsia="仿宋"/>
          <w:sz w:val="32"/>
          <w:szCs w:val="32"/>
        </w:rPr>
        <w:t>对个人和家庭的补助</w:t>
      </w:r>
      <w:r>
        <w:rPr>
          <w:rFonts w:ascii="仿宋" w:hAnsi="仿宋" w:eastAsia="仿宋" w:cs="Times New Roman"/>
          <w:sz w:val="32"/>
          <w:szCs w:val="32"/>
        </w:rPr>
        <w:t>”</w:t>
      </w:r>
      <w:r>
        <w:rPr>
          <w:rFonts w:ascii="仿宋" w:hAnsi="仿宋" w:eastAsia="仿宋"/>
          <w:sz w:val="32"/>
          <w:szCs w:val="32"/>
        </w:rPr>
        <w:t>外的其他支出。</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sz w:val="32"/>
          <w:szCs w:val="32"/>
        </w:rPr>
        <w:t>（十）项目支出：指在基本支出之外为完成特定任务和事业发展目标所发生的支出。</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sz w:val="32"/>
          <w:szCs w:val="32"/>
        </w:rPr>
        <w:t>（十一）经营支出：指事业单位在专业业务活动及其辅助活动之外开展非独立核算经营活动发生的支出。</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sz w:val="32"/>
          <w:szCs w:val="32"/>
        </w:rPr>
        <w:t>（十二）</w:t>
      </w:r>
      <w:r>
        <w:rPr>
          <w:rFonts w:ascii="仿宋" w:hAnsi="仿宋" w:eastAsia="仿宋" w:cs="Times New Roman"/>
          <w:sz w:val="32"/>
          <w:szCs w:val="32"/>
        </w:rPr>
        <w:t>“</w:t>
      </w:r>
      <w:r>
        <w:rPr>
          <w:rFonts w:ascii="仿宋" w:hAnsi="仿宋" w:eastAsia="仿宋"/>
          <w:sz w:val="32"/>
          <w:szCs w:val="32"/>
        </w:rPr>
        <w:t>三公</w:t>
      </w:r>
      <w:r>
        <w:rPr>
          <w:rFonts w:ascii="仿宋" w:hAnsi="仿宋" w:eastAsia="仿宋" w:cs="Times New Roman"/>
          <w:sz w:val="32"/>
          <w:szCs w:val="32"/>
        </w:rPr>
        <w:t>”</w:t>
      </w:r>
      <w:r>
        <w:rPr>
          <w:rFonts w:ascii="仿宋" w:hAnsi="仿宋" w:eastAsia="仿宋"/>
          <w:sz w:val="32"/>
          <w:szCs w:val="32"/>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sz w:val="32"/>
          <w:szCs w:val="32"/>
        </w:rPr>
        <w:t>（十三）机关运行经费：指行政单位和参照公务员法管理的事业单位使用一般公共预算财政拨款安排的基本支出中的日常公用经费支出。未包含行政单位或参照公务员法管理事业单位的部门，参考此口径公开本部门的日常公用经费，并与预算公开保持一致。未包含行政单位或者参照公务员法管理事业单位的部门，参照此口径公开本部门的日常公用经费，并与预算公开保持一致。</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sz w:val="32"/>
          <w:szCs w:val="32"/>
        </w:rPr>
        <w:t>（十四）工资福利支出（支出经济分类科目类级）：反映单位开支的在职职工和编制外长期聘用人员的各类劳动报酬，以及为上述人员缴纳的各项社会保险费等。</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sz w:val="32"/>
          <w:szCs w:val="32"/>
        </w:rPr>
        <w:t>（十五）商品和服务支出（支出经济分类科目类级）：反映单位购买商品和服务的支出（不包括用于购置固定资产的支出、战略性和应急储备支出）。</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sz w:val="32"/>
          <w:szCs w:val="32"/>
        </w:rPr>
        <w:t>（十六）对个人和家庭的补助（支出经济分类科目类级）：反映用于对个人和家庭的补助支出。</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sz w:val="32"/>
          <w:szCs w:val="32"/>
        </w:rPr>
        <w:t>（十七）资本性支出（支出经济分类科目类级）：反映非各级发展与改革部门集中安排的用于购置固定资产、战略性和应急性储备、土地和无形资产，以及构建基础设施、大型修缮和财政支持企业更新改造所发生的支出。</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cs="Times New Roman"/>
          <w:sz w:val="32"/>
          <w:szCs w:val="32"/>
        </w:rPr>
        <w:t xml:space="preserve"> </w:t>
      </w:r>
    </w:p>
    <w:p>
      <w:pPr>
        <w:autoSpaceDE w:val="0"/>
        <w:autoSpaceDN w:val="0"/>
        <w:adjustRightInd w:val="0"/>
        <w:spacing w:before="100" w:beforeAutospacing="1" w:after="100" w:afterAutospacing="1" w:line="580" w:lineRule="exact"/>
        <w:ind w:firstLine="600"/>
        <w:rPr>
          <w:rFonts w:ascii="仿宋" w:hAnsi="仿宋" w:eastAsia="仿宋" w:cs="Times New Roman"/>
          <w:b/>
          <w:bCs/>
          <w:sz w:val="32"/>
          <w:szCs w:val="32"/>
        </w:rPr>
      </w:pPr>
      <w:r>
        <w:rPr>
          <w:rFonts w:ascii="仿宋" w:hAnsi="仿宋" w:eastAsia="仿宋"/>
          <w:b/>
          <w:bCs/>
          <w:sz w:val="32"/>
          <w:szCs w:val="32"/>
        </w:rPr>
        <w:t>第四部分 决算公开联系方式及信息反馈渠道</w:t>
      </w:r>
    </w:p>
    <w:p>
      <w:pPr>
        <w:autoSpaceDE w:val="0"/>
        <w:autoSpaceDN w:val="0"/>
        <w:adjustRightInd w:val="0"/>
        <w:spacing w:before="100" w:beforeAutospacing="1" w:after="100" w:afterAutospacing="1" w:line="580" w:lineRule="exact"/>
        <w:ind w:firstLine="600"/>
        <w:rPr>
          <w:rFonts w:ascii="仿宋" w:hAnsi="仿宋" w:eastAsia="仿宋" w:cs="Times New Roman"/>
          <w:sz w:val="32"/>
          <w:szCs w:val="32"/>
        </w:rPr>
      </w:pPr>
      <w:r>
        <w:rPr>
          <w:rFonts w:ascii="仿宋" w:hAnsi="仿宋" w:eastAsia="仿宋"/>
          <w:sz w:val="32"/>
          <w:szCs w:val="32"/>
        </w:rPr>
        <w:t>本单位决算公开信息反馈和联系方式：</w:t>
      </w:r>
    </w:p>
    <w:p>
      <w:pPr>
        <w:autoSpaceDE w:val="0"/>
        <w:autoSpaceDN w:val="0"/>
        <w:adjustRightInd w:val="0"/>
        <w:spacing w:before="100" w:beforeAutospacing="1" w:after="100" w:afterAutospacing="1" w:line="580" w:lineRule="exact"/>
        <w:ind w:firstLine="600"/>
        <w:rPr>
          <w:rFonts w:ascii="仿宋" w:hAnsi="仿宋" w:eastAsia="仿宋" w:cs="Times New Roman"/>
          <w:color w:val="000000"/>
          <w:sz w:val="18"/>
          <w:szCs w:val="18"/>
        </w:rPr>
      </w:pPr>
      <w:r>
        <w:rPr>
          <w:rFonts w:ascii="仿宋" w:hAnsi="仿宋" w:eastAsia="仿宋"/>
          <w:color w:val="000000"/>
          <w:sz w:val="32"/>
          <w:szCs w:val="32"/>
        </w:rPr>
        <w:t>联系人：赵海荣    联系电话：0470</w:t>
      </w:r>
      <w:r>
        <w:rPr>
          <w:rFonts w:ascii="仿宋" w:hAnsi="仿宋" w:eastAsia="仿宋" w:cs="Times New Roman"/>
          <w:color w:val="000000"/>
          <w:sz w:val="32"/>
          <w:szCs w:val="32"/>
        </w:rPr>
        <w:t>-</w:t>
      </w:r>
      <w:r>
        <w:rPr>
          <w:rFonts w:ascii="仿宋" w:hAnsi="仿宋" w:eastAsia="仿宋"/>
          <w:color w:val="000000"/>
          <w:sz w:val="32"/>
          <w:szCs w:val="32"/>
        </w:rPr>
        <w:t>8217145</w:t>
      </w:r>
    </w:p>
    <w:p>
      <w:pPr>
        <w:autoSpaceDE w:val="0"/>
        <w:autoSpaceDN w:val="0"/>
        <w:adjustRightInd w:val="0"/>
        <w:spacing w:before="100" w:beforeAutospacing="1" w:after="100" w:afterAutospacing="1"/>
        <w:rPr>
          <w:rFonts w:ascii="仿宋" w:hAnsi="仿宋" w:eastAsia="仿宋" w:cs="Times New Roman"/>
          <w:b/>
          <w:bCs/>
          <w:sz w:val="36"/>
          <w:szCs w:val="36"/>
        </w:rPr>
      </w:pPr>
      <w:r>
        <w:rPr>
          <w:rFonts w:ascii="仿宋" w:hAnsi="仿宋" w:eastAsia="仿宋" w:cs="Times New Roman"/>
          <w:b/>
          <w:bCs/>
          <w:sz w:val="36"/>
          <w:szCs w:val="36"/>
        </w:rPr>
        <w:t xml:space="preserve"> </w:t>
      </w:r>
    </w:p>
    <w:p>
      <w:pPr>
        <w:rPr>
          <w:rFonts w:ascii="仿宋" w:hAnsi="仿宋" w:eastAsia="仿宋"/>
          <w:color w:val="000000"/>
        </w:rPr>
      </w:pPr>
    </w:p>
    <w:p>
      <w:pPr>
        <w:rPr>
          <w:rFonts w:hint="eastAsia" w:ascii="仿宋" w:hAnsi="仿宋" w:eastAsia="仿宋"/>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A6118"/>
    <w:rsid w:val="0004144A"/>
    <w:rsid w:val="002B478F"/>
    <w:rsid w:val="002E7EFA"/>
    <w:rsid w:val="004C04D7"/>
    <w:rsid w:val="00541C35"/>
    <w:rsid w:val="006B408C"/>
    <w:rsid w:val="00707AEF"/>
    <w:rsid w:val="007D5BD1"/>
    <w:rsid w:val="008346AA"/>
    <w:rsid w:val="0084096B"/>
    <w:rsid w:val="00AC4408"/>
    <w:rsid w:val="00B947B6"/>
    <w:rsid w:val="00BA6118"/>
    <w:rsid w:val="00DD18AC"/>
    <w:rsid w:val="00E36D92"/>
    <w:rsid w:val="00ED5C15"/>
    <w:rsid w:val="00F07D4E"/>
    <w:rsid w:val="00FE05E3"/>
    <w:rsid w:val="0A8A76C2"/>
    <w:rsid w:val="11B33FC8"/>
    <w:rsid w:val="1DAB5ED7"/>
    <w:rsid w:val="224136FD"/>
    <w:rsid w:val="24AD7E76"/>
    <w:rsid w:val="2C2900C7"/>
    <w:rsid w:val="432D4E1F"/>
    <w:rsid w:val="5AAA5E45"/>
    <w:rsid w:val="71781A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kern w:val="0"/>
      <w:sz w:val="24"/>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e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中国微软</Company>
  <Pages>28</Pages>
  <Words>2048</Words>
  <Characters>11680</Characters>
  <Lines>97</Lines>
  <Paragraphs>27</Paragraphs>
  <TotalTime>3</TotalTime>
  <ScaleCrop>false</ScaleCrop>
  <LinksUpToDate>false</LinksUpToDate>
  <CharactersWithSpaces>13701</CharactersWithSpaces>
  <Application>WPS Office_11.1.0.9175_F1E327BC-269C-435d-A152-05C5408002CA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2020-09-07T03:00:00Z</dcterms:created>
  <dc:creator>微软中国</dc:creator>
  <cp:lastModifiedBy>Administrator</cp:lastModifiedBy>
  <dcterms:modified xsi:type="dcterms:W3CDTF">2020-09-08T06:05:21Z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