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right="0"/>
        <w:jc w:val="both"/>
        <w:rPr>
          <w:rFonts w:hint="default" w:ascii="Times New Roman" w:hAnsi="Times New Roman"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ind w:left="0" w:right="0" w:firstLine="601"/>
        <w:jc w:val="center"/>
        <w:rPr>
          <w:color w:val="auto"/>
        </w:rPr>
      </w:pPr>
      <w:r>
        <w:rPr>
          <w:rFonts w:ascii="仿宋_GB2312" w:hAnsi="Times New Roman" w:eastAsia="仿宋_GB2312" w:cs="仿宋_GB2312"/>
          <w:b/>
          <w:color w:val="auto"/>
          <w:sz w:val="44"/>
          <w:szCs w:val="44"/>
          <w:lang w:val="en-US"/>
        </w:rPr>
        <w:t>呼伦贝尔市老年人体育协会办公室</w:t>
      </w:r>
    </w:p>
    <w:p>
      <w:pPr>
        <w:keepNext w:val="0"/>
        <w:keepLines w:val="0"/>
        <w:widowControl/>
        <w:suppressLineNumbers w:val="0"/>
        <w:autoSpaceDE w:val="0"/>
        <w:autoSpaceDN w:val="0"/>
        <w:adjustRightInd w:val="0"/>
        <w:spacing w:before="0" w:beforeAutospacing="1" w:after="0" w:afterAutospacing="1"/>
        <w:ind w:left="0" w:right="0" w:firstLine="601"/>
        <w:jc w:val="center"/>
        <w:rPr>
          <w:rFonts w:hint="default" w:ascii="Times New Roman" w:hAnsi="Times New Roman" w:eastAsia="仿宋_GB2312" w:cs="Times New Roman"/>
          <w:b/>
          <w:sz w:val="44"/>
          <w:szCs w:val="44"/>
          <w:lang w:val="en-US"/>
        </w:rPr>
      </w:pPr>
      <w:r>
        <w:rPr>
          <w:rFonts w:hint="eastAsia" w:ascii="仿宋_GB2312" w:hAnsi="Times New Roman" w:eastAsia="仿宋_GB2312" w:cs="仿宋_GB2312"/>
          <w:b/>
          <w:sz w:val="44"/>
          <w:szCs w:val="44"/>
          <w:lang w:val="en-US"/>
        </w:rPr>
        <w:t>2019</w:t>
      </w:r>
      <w:r>
        <w:rPr>
          <w:rFonts w:hint="eastAsia" w:ascii="仿宋_GB2312" w:hAnsi="Times New Roman" w:eastAsia="仿宋_GB2312" w:cs="仿宋_GB2312"/>
          <w:b/>
          <w:sz w:val="44"/>
          <w:szCs w:val="44"/>
        </w:rPr>
        <w:t>年度决算公开报告</w:t>
      </w: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p>
    <w:p>
      <w:pPr>
        <w:keepNext w:val="0"/>
        <w:keepLines w:val="0"/>
        <w:widowControl/>
        <w:suppressLineNumbers w:val="0"/>
        <w:autoSpaceDE w:val="0"/>
        <w:autoSpaceDN w:val="0"/>
        <w:adjustRightInd w:val="0"/>
        <w:spacing w:before="0" w:beforeAutospacing="1" w:after="0" w:afterAutospacing="1"/>
        <w:ind w:left="0" w:right="0" w:firstLine="601"/>
        <w:jc w:val="center"/>
        <w:rPr>
          <w:rFonts w:hint="default" w:ascii="Times New Roman" w:hAnsi="Times New Roman" w:eastAsia="仿宋_GB2312" w:cs="Times New Roman"/>
          <w:b/>
          <w:sz w:val="44"/>
          <w:szCs w:val="44"/>
          <w:lang w:val="en-US"/>
        </w:rPr>
      </w:pPr>
      <w:r>
        <w:rPr>
          <w:rFonts w:hint="eastAsia" w:ascii="仿宋_GB2312" w:hAnsi="Times New Roman" w:eastAsia="仿宋_GB2312" w:cs="仿宋_GB2312"/>
          <w:b/>
          <w:sz w:val="44"/>
          <w:szCs w:val="44"/>
        </w:rPr>
        <w:t>目录</w:t>
      </w:r>
    </w:p>
    <w:p>
      <w:pPr>
        <w:keepNext w:val="0"/>
        <w:keepLines w:val="0"/>
        <w:widowControl/>
        <w:suppressLineNumbers w:val="0"/>
        <w:autoSpaceDE w:val="0"/>
        <w:autoSpaceDN w:val="0"/>
        <w:adjustRightInd w:val="0"/>
        <w:spacing w:before="0" w:beforeAutospacing="1" w:after="0" w:afterAutospacing="1"/>
        <w:ind w:left="0" w:right="0" w:firstLine="601"/>
        <w:jc w:val="left"/>
        <w:rPr>
          <w:rFonts w:hint="default" w:ascii="Times New Roman" w:hAnsi="Times New Roman" w:eastAsia="仿宋_GB2312" w:cs="Times New Roman"/>
          <w:b/>
          <w:sz w:val="44"/>
          <w:szCs w:val="44"/>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ascii="黑体" w:hAnsi="Times New Roman" w:eastAsia="黑体" w:cs="黑体"/>
          <w:b/>
          <w:sz w:val="32"/>
          <w:szCs w:val="32"/>
        </w:rPr>
        <w:t>第一部分 部门基本情况</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一、部门职责</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二、机构设置</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第二部分</w:t>
      </w:r>
      <w:r>
        <w:rPr>
          <w:rFonts w:hint="eastAsia" w:ascii="黑体" w:hAnsi="Times New Roman" w:eastAsia="黑体" w:cs="黑体"/>
          <w:b/>
          <w:sz w:val="32"/>
          <w:szCs w:val="32"/>
          <w:lang w:val="en-US"/>
        </w:rPr>
        <w:t xml:space="preserve"> 2019</w:t>
      </w:r>
      <w:r>
        <w:rPr>
          <w:rFonts w:hint="eastAsia" w:ascii="黑体" w:hAnsi="Times New Roman" w:eastAsia="黑体" w:cs="黑体"/>
          <w:b/>
          <w:sz w:val="32"/>
          <w:szCs w:val="32"/>
        </w:rPr>
        <w:t>年度部门决算情况说明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年度预算执行情况分析</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（一）关于收支情况总体说明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年度收入决算情况说明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（三）关于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（四）关于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年度财政拨款收入支出决算总体情况说明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（五）关于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年度一般公共预算财政拨款支出决算情况说明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（六）关于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年度一般公共预算财政拨款基本支出决算情况说明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（七）关于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年度财政拨款</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经费支出决算情况说明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rPr>
        <w:tab/>
      </w:r>
      <w:r>
        <w:rPr>
          <w:rFonts w:hint="eastAsia" w:ascii="仿宋_GB2312" w:hAnsi="Times New Roman" w:eastAsia="仿宋_GB2312" w:cs="仿宋_GB2312"/>
          <w:sz w:val="32"/>
          <w:szCs w:val="32"/>
          <w:lang w:val="en-US"/>
        </w:rPr>
        <w:t>1</w:t>
      </w:r>
      <w:r>
        <w:rPr>
          <w:rFonts w:hint="eastAsia" w:ascii="仿宋_GB2312" w:hAnsi="Times New Roman" w:eastAsia="仿宋_GB2312" w:cs="仿宋_GB2312"/>
          <w:sz w:val="32"/>
          <w:szCs w:val="32"/>
        </w:rPr>
        <w:t>、财政拨款</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经费支出决算总体情况说明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rPr>
        <w:tab/>
      </w:r>
      <w:r>
        <w:rPr>
          <w:rFonts w:hint="eastAsia" w:ascii="仿宋_GB2312" w:hAnsi="Times New Roman" w:eastAsia="仿宋_GB2312" w:cs="仿宋_GB2312"/>
          <w:sz w:val="32"/>
          <w:szCs w:val="32"/>
          <w:lang w:val="en-US"/>
        </w:rPr>
        <w:t>2</w:t>
      </w:r>
      <w:r>
        <w:rPr>
          <w:rFonts w:hint="eastAsia" w:ascii="仿宋_GB2312" w:hAnsi="Times New Roman" w:eastAsia="仿宋_GB2312" w:cs="仿宋_GB2312"/>
          <w:sz w:val="32"/>
          <w:szCs w:val="32"/>
        </w:rPr>
        <w:t>、财政拨款</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经费支出决算具体情况说明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三、预算绩效情况说明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（一）预算绩效管理工作开展情况</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（二）部门决算中项目绩效自评结果</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四、其他重要事项的情况说明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（一）机关运行经费支出情况</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（二）政府采购支出情况</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（三）国有资产占用情况</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第三部分 名词解释</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第四部分 决算公开联系方式及信息反馈渠道</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第五部分 部门决算公开表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一、收入支出决算总表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二、收入决算表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三、支出决算表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四、财政拨款收入支出决算总表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五、一般公共预算财政拨款支出决算表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六、一般公共预算财政拨款基本支出决算明细表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七、政府性基金预算财政拨款收入支出决算表</w:t>
      </w:r>
    </w:p>
    <w:p>
      <w:pPr>
        <w:keepNext w:val="0"/>
        <w:keepLines w:val="0"/>
        <w:widowControl/>
        <w:suppressLineNumbers w:val="0"/>
        <w:autoSpaceDE w:val="0"/>
        <w:autoSpaceDN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八、机构运行信息表</w:t>
      </w:r>
    </w:p>
    <w:p>
      <w:pPr>
        <w:keepNext w:val="0"/>
        <w:keepLines w:val="0"/>
        <w:widowControl/>
        <w:suppressLineNumbers w:val="0"/>
        <w:autoSpaceDE w:val="0"/>
        <w:autoSpaceDN w:val="0"/>
        <w:adjustRightInd w:val="0"/>
        <w:spacing w:before="0" w:beforeAutospacing="1" w:after="0" w:afterAutospacing="1"/>
        <w:ind w:left="0" w:right="0" w:firstLine="601"/>
        <w:jc w:val="left"/>
        <w:rPr>
          <w:rFonts w:hint="default" w:ascii="Times New Roman" w:hAnsi="Times New Roman" w:eastAsia="仿宋_GB2312" w:cs="Times New Roman"/>
          <w:b/>
          <w:sz w:val="44"/>
          <w:szCs w:val="44"/>
          <w:lang w:val="en-US"/>
        </w:rPr>
      </w:pPr>
    </w:p>
    <w:p>
      <w:pPr>
        <w:keepNext w:val="0"/>
        <w:keepLines w:val="0"/>
        <w:widowControl/>
        <w:suppressLineNumbers w:val="0"/>
        <w:jc w:val="left"/>
        <w:rPr>
          <w:rFonts w:ascii="宋体" w:hAnsi="宋体" w:eastAsia="宋体" w:cs="宋体"/>
          <w:sz w:val="24"/>
          <w:szCs w:val="24"/>
        </w:rPr>
      </w:pPr>
      <w:r>
        <w:rPr>
          <w:rFonts w:ascii="宋体" w:hAnsi="宋体" w:eastAsia="宋体" w:cs="宋体"/>
          <w:sz w:val="24"/>
          <w:szCs w:val="24"/>
        </w:rPr>
        <w:t xml:space="preserve">  </w:t>
      </w: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b/>
          <w:sz w:val="32"/>
          <w:szCs w:val="32"/>
        </w:rPr>
        <w:t>第一部分 部门基本情况</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一、部门职责</w:t>
      </w:r>
    </w:p>
    <w:p>
      <w:pPr>
        <w:keepNext w:val="0"/>
        <w:keepLines w:val="0"/>
        <w:widowControl/>
        <w:suppressLineNumbers w:val="0"/>
        <w:snapToGrid w:val="0"/>
        <w:spacing w:before="0" w:beforeLines="0" w:beforeAutospacing="0" w:after="0" w:afterLines="0" w:afterAutospacing="0" w:line="580" w:lineRule="exact"/>
        <w:ind w:left="0" w:right="0" w:firstLine="600"/>
        <w:jc w:val="left"/>
        <w:rPr>
          <w:rFonts w:hint="eastAsia" w:ascii="仿宋_GB2312" w:eastAsia="仿宋_GB2312" w:cs="宋体"/>
          <w:kern w:val="0"/>
          <w:sz w:val="32"/>
          <w:szCs w:val="32"/>
          <w:lang w:val="en-US" w:eastAsia="zh-CN" w:bidi="ar"/>
        </w:rPr>
      </w:pPr>
      <w:r>
        <w:rPr>
          <w:rFonts w:hint="eastAsia" w:ascii="仿宋_GB2312" w:hAnsi="宋体" w:eastAsia="仿宋_GB2312" w:cs="宋体"/>
          <w:kern w:val="0"/>
          <w:sz w:val="32"/>
          <w:szCs w:val="32"/>
          <w:lang w:val="en-US" w:eastAsia="zh-CN" w:bidi="ar"/>
        </w:rPr>
        <w:t>1.</w:t>
      </w:r>
      <w:r>
        <w:rPr>
          <w:rFonts w:hint="eastAsia" w:ascii="仿宋_GB2312" w:eastAsia="仿宋_GB2312" w:cs="宋体"/>
          <w:kern w:val="0"/>
          <w:sz w:val="32"/>
          <w:szCs w:val="32"/>
          <w:lang w:val="en-US" w:eastAsia="zh-CN" w:bidi="ar"/>
        </w:rPr>
        <w:t>为老年人健康提供健身服务， 老年人体育健身活动组织，宣传贯彻国家、自治区有关老年人体育方面的方针政策和法律法规，负责组织开展全市老年人的体育健身活动；</w:t>
      </w:r>
    </w:p>
    <w:p>
      <w:pPr>
        <w:keepNext w:val="0"/>
        <w:keepLines w:val="0"/>
        <w:widowControl/>
        <w:suppressLineNumbers w:val="0"/>
        <w:snapToGrid w:val="0"/>
        <w:spacing w:before="0" w:beforeLines="0" w:beforeAutospacing="0" w:after="0" w:afterLines="0" w:afterAutospacing="0" w:line="580" w:lineRule="exact"/>
        <w:ind w:left="0" w:right="0" w:firstLine="600"/>
        <w:jc w:val="left"/>
        <w:rPr>
          <w:rFonts w:hint="eastAsia" w:ascii="仿宋_GB2312" w:eastAsia="仿宋_GB2312" w:cs="宋体"/>
          <w:kern w:val="0"/>
          <w:sz w:val="32"/>
          <w:szCs w:val="32"/>
          <w:lang w:bidi="ar-SA"/>
        </w:rPr>
      </w:pPr>
      <w:r>
        <w:rPr>
          <w:rFonts w:hint="eastAsia" w:ascii="仿宋_GB2312" w:hAnsi="宋体" w:eastAsia="仿宋_GB2312" w:cs="宋体"/>
          <w:kern w:val="0"/>
          <w:sz w:val="32"/>
          <w:szCs w:val="32"/>
          <w:lang w:val="en-US" w:eastAsia="zh-CN" w:bidi="ar"/>
        </w:rPr>
        <w:t>2.</w:t>
      </w:r>
      <w:r>
        <w:rPr>
          <w:rFonts w:hint="eastAsia" w:ascii="仿宋_GB2312" w:eastAsia="仿宋_GB2312" w:cs="宋体"/>
          <w:kern w:val="0"/>
          <w:sz w:val="32"/>
          <w:szCs w:val="32"/>
          <w:lang w:val="en-US" w:eastAsia="zh-CN" w:bidi="ar"/>
        </w:rPr>
        <w:t>基层业务指导，</w:t>
      </w:r>
      <w:r>
        <w:rPr>
          <w:rFonts w:hint="eastAsia" w:ascii="仿宋_GB2312" w:hAnsi="宋体" w:eastAsia="仿宋_GB2312" w:cs="宋体"/>
          <w:kern w:val="0"/>
          <w:sz w:val="32"/>
          <w:szCs w:val="32"/>
          <w:lang w:val="en-US" w:eastAsia="zh-CN" w:bidi="ar"/>
        </w:rPr>
        <w:t>协调各旗市老年体协工作，组织老年体育工作交流活动和对外交往；</w:t>
      </w:r>
    </w:p>
    <w:p>
      <w:pPr>
        <w:keepNext w:val="0"/>
        <w:keepLines w:val="0"/>
        <w:widowControl/>
        <w:suppressLineNumbers w:val="0"/>
        <w:snapToGrid w:val="0"/>
        <w:spacing w:before="0" w:beforeLines="0" w:beforeAutospacing="0" w:after="0" w:afterLines="0" w:afterAutospacing="0" w:line="580" w:lineRule="exact"/>
        <w:ind w:left="0" w:right="0" w:firstLine="600"/>
        <w:jc w:val="left"/>
        <w:rPr>
          <w:rFonts w:hint="eastAsia" w:ascii="仿宋_GB2312" w:eastAsia="仿宋_GB2312" w:cs="宋体"/>
          <w:kern w:val="0"/>
          <w:sz w:val="32"/>
          <w:szCs w:val="32"/>
          <w:lang w:bidi="ar-SA"/>
        </w:rPr>
      </w:pPr>
      <w:r>
        <w:rPr>
          <w:rFonts w:hint="eastAsia" w:ascii="仿宋_GB2312" w:hAnsi="宋体" w:eastAsia="仿宋_GB2312" w:cs="宋体"/>
          <w:kern w:val="0"/>
          <w:sz w:val="32"/>
          <w:szCs w:val="32"/>
          <w:lang w:val="en-US" w:eastAsia="zh-CN" w:bidi="ar"/>
        </w:rPr>
        <w:t>3.</w:t>
      </w:r>
      <w:r>
        <w:rPr>
          <w:rFonts w:hint="eastAsia" w:ascii="仿宋_GB2312" w:eastAsia="仿宋_GB2312" w:cs="宋体"/>
          <w:kern w:val="0"/>
          <w:sz w:val="32"/>
          <w:szCs w:val="32"/>
          <w:lang w:val="en-US" w:eastAsia="zh-CN" w:bidi="ar"/>
        </w:rPr>
        <w:t>老年体育活动交流，</w:t>
      </w:r>
      <w:r>
        <w:rPr>
          <w:rFonts w:hint="eastAsia" w:ascii="仿宋_GB2312" w:hAnsi="宋体" w:eastAsia="仿宋_GB2312" w:cs="宋体"/>
          <w:kern w:val="0"/>
          <w:sz w:val="32"/>
          <w:szCs w:val="32"/>
          <w:lang w:val="en-US" w:eastAsia="zh-CN" w:bidi="ar"/>
        </w:rPr>
        <w:t>对老年体育各单项协会进行领导和管理；</w:t>
      </w:r>
    </w:p>
    <w:p>
      <w:pPr>
        <w:keepNext w:val="0"/>
        <w:keepLines w:val="0"/>
        <w:widowControl/>
        <w:suppressLineNumbers w:val="0"/>
        <w:snapToGrid w:val="0"/>
        <w:spacing w:before="0" w:beforeLines="0" w:beforeAutospacing="0" w:after="0" w:afterLines="0" w:afterAutospacing="0" w:line="580" w:lineRule="exact"/>
        <w:ind w:left="0" w:right="0" w:firstLine="600"/>
        <w:jc w:val="left"/>
        <w:rPr>
          <w:rFonts w:hint="eastAsia" w:ascii="仿宋_GB2312" w:eastAsia="仿宋_GB2312" w:cs="宋体"/>
          <w:kern w:val="0"/>
          <w:sz w:val="32"/>
          <w:szCs w:val="32"/>
          <w:lang w:bidi="ar-SA"/>
        </w:rPr>
      </w:pPr>
      <w:r>
        <w:rPr>
          <w:rFonts w:hint="eastAsia" w:ascii="仿宋_GB2312" w:hAnsi="宋体" w:eastAsia="仿宋_GB2312" w:cs="宋体"/>
          <w:kern w:val="0"/>
          <w:sz w:val="32"/>
          <w:szCs w:val="32"/>
          <w:lang w:val="en-US" w:eastAsia="zh-CN" w:bidi="ar"/>
        </w:rPr>
        <w:t>4.完成上级体育行政部门交办的各项任务。</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二、机构设置</w:t>
      </w:r>
    </w:p>
    <w:p>
      <w:pPr>
        <w:keepNext w:val="0"/>
        <w:keepLines w:val="0"/>
        <w:widowControl/>
        <w:suppressLineNumbers w:val="0"/>
        <w:snapToGrid w:val="0"/>
        <w:spacing w:before="0" w:beforeLines="0" w:beforeAutospacing="0" w:after="0" w:afterLines="0" w:afterAutospacing="0" w:line="580" w:lineRule="exact"/>
        <w:ind w:left="0" w:right="0" w:firstLine="600"/>
        <w:jc w:val="both"/>
        <w:rPr>
          <w:rFonts w:hint="eastAsia" w:ascii="仿宋_GB2312" w:eastAsia="仿宋_GB2312" w:cs="宋体"/>
          <w:kern w:val="0"/>
          <w:sz w:val="32"/>
          <w:szCs w:val="32"/>
        </w:rPr>
      </w:pPr>
      <w:r>
        <w:rPr>
          <w:rFonts w:hint="eastAsia" w:ascii="仿宋_GB2312" w:hAnsi="宋体" w:eastAsia="仿宋_GB2312" w:cs="仿宋_GB2312"/>
          <w:kern w:val="0"/>
          <w:sz w:val="32"/>
          <w:szCs w:val="32"/>
          <w:lang w:val="en-US" w:eastAsia="zh-CN" w:bidi="ar"/>
        </w:rPr>
        <w:t>呼伦贝尔市老年人体育协会</w:t>
      </w:r>
      <w:r>
        <w:rPr>
          <w:rFonts w:hint="eastAsia" w:ascii="仿宋_GB2312" w:eastAsia="仿宋_GB2312" w:cs="仿宋_GB2312"/>
          <w:kern w:val="0"/>
          <w:sz w:val="32"/>
          <w:szCs w:val="32"/>
          <w:lang w:val="en-US" w:eastAsia="zh-CN" w:bidi="ar"/>
        </w:rPr>
        <w:t>办公室隶属于呼伦贝尔市体育局，公益一类的正科级事业单位。核定事业</w:t>
      </w:r>
      <w:r>
        <w:rPr>
          <w:rFonts w:hint="eastAsia" w:ascii="仿宋_GB2312" w:hAnsi="宋体" w:eastAsia="仿宋_GB2312" w:cs="仿宋_GB2312"/>
          <w:kern w:val="0"/>
          <w:sz w:val="32"/>
          <w:szCs w:val="32"/>
          <w:lang w:val="en-US" w:eastAsia="zh-CN" w:bidi="ar"/>
        </w:rPr>
        <w:t>编制</w:t>
      </w:r>
      <w:r>
        <w:rPr>
          <w:rFonts w:hint="eastAsia" w:ascii="仿宋_GB2312" w:hAnsi="宋体" w:eastAsia="仿宋_GB2312" w:cs="宋体"/>
          <w:kern w:val="0"/>
          <w:sz w:val="32"/>
          <w:szCs w:val="32"/>
          <w:lang w:val="en-US" w:eastAsia="zh-CN" w:bidi="ar"/>
        </w:rPr>
        <w:t>3人</w:t>
      </w:r>
      <w:r>
        <w:rPr>
          <w:rFonts w:hint="eastAsia" w:ascii="仿宋_GB2312" w:eastAsia="仿宋_GB2312" w:cs="宋体"/>
          <w:kern w:val="0"/>
          <w:sz w:val="32"/>
          <w:szCs w:val="32"/>
          <w:lang w:val="en-US" w:eastAsia="zh-CN" w:bidi="ar"/>
        </w:rPr>
        <w:t>（均为管理人员）</w:t>
      </w:r>
      <w:r>
        <w:rPr>
          <w:rFonts w:hint="eastAsia" w:ascii="仿宋_GB2312" w:hAnsi="宋体" w:eastAsia="仿宋_GB2312" w:cs="宋体"/>
          <w:kern w:val="0"/>
          <w:sz w:val="32"/>
          <w:szCs w:val="32"/>
          <w:lang w:val="en-US" w:eastAsia="zh-CN" w:bidi="ar"/>
        </w:rPr>
        <w:t>，</w:t>
      </w:r>
      <w:r>
        <w:rPr>
          <w:rFonts w:hint="eastAsia" w:ascii="仿宋_GB2312" w:eastAsia="仿宋_GB2312" w:cs="宋体"/>
          <w:kern w:val="0"/>
          <w:sz w:val="32"/>
          <w:szCs w:val="32"/>
          <w:lang w:val="en-US" w:eastAsia="zh-CN" w:bidi="ar"/>
        </w:rPr>
        <w:t>正科级领导指数1名。实际</w:t>
      </w:r>
      <w:r>
        <w:rPr>
          <w:rFonts w:hint="eastAsia" w:ascii="仿宋_GB2312" w:hAnsi="宋体" w:eastAsia="仿宋_GB2312" w:cs="宋体"/>
          <w:kern w:val="0"/>
          <w:sz w:val="32"/>
          <w:szCs w:val="32"/>
          <w:lang w:val="en-US" w:eastAsia="zh-CN" w:bidi="ar"/>
        </w:rPr>
        <w:t>在职人数1人，离退休</w:t>
      </w:r>
      <w:r>
        <w:rPr>
          <w:rFonts w:hint="eastAsia" w:ascii="仿宋_GB2312" w:eastAsia="仿宋_GB2312" w:cs="宋体"/>
          <w:kern w:val="0"/>
          <w:sz w:val="32"/>
          <w:szCs w:val="32"/>
          <w:lang w:val="en-US" w:eastAsia="zh-CN" w:bidi="ar"/>
        </w:rPr>
        <w:t>1</w:t>
      </w:r>
      <w:r>
        <w:rPr>
          <w:rFonts w:hint="eastAsia" w:ascii="仿宋_GB2312" w:hAnsi="宋体" w:eastAsia="仿宋_GB2312" w:cs="宋体"/>
          <w:kern w:val="0"/>
          <w:sz w:val="32"/>
          <w:szCs w:val="32"/>
          <w:lang w:val="en-US" w:eastAsia="zh-CN" w:bidi="ar"/>
        </w:rPr>
        <w:t>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b/>
          <w:sz w:val="32"/>
          <w:szCs w:val="32"/>
          <w:lang w:val="en-US"/>
        </w:rPr>
      </w:pPr>
      <w:r>
        <w:rPr>
          <w:rFonts w:hint="eastAsia" w:ascii="仿宋_GB2312" w:hAnsi="Times New Roman" w:eastAsia="仿宋_GB2312" w:cs="仿宋_GB2312"/>
          <w:b/>
          <w:sz w:val="32"/>
          <w:szCs w:val="32"/>
        </w:rPr>
        <w:t>第二部分</w:t>
      </w:r>
      <w:r>
        <w:rPr>
          <w:rFonts w:hint="eastAsia" w:ascii="仿宋_GB2312" w:hAnsi="Times New Roman" w:eastAsia="仿宋_GB2312" w:cs="仿宋_GB2312"/>
          <w:b/>
          <w:sz w:val="32"/>
          <w:szCs w:val="32"/>
          <w:lang w:val="en-US"/>
        </w:rPr>
        <w:t xml:space="preserve"> 2019</w:t>
      </w:r>
      <w:r>
        <w:rPr>
          <w:rFonts w:hint="eastAsia" w:ascii="仿宋_GB2312" w:hAnsi="Times New Roman" w:eastAsia="仿宋_GB2312" w:cs="仿宋_GB2312"/>
          <w:b/>
          <w:sz w:val="32"/>
          <w:szCs w:val="32"/>
        </w:rPr>
        <w:t>年度部门决算情况说明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年度预算执行情况分析</w:t>
      </w:r>
    </w:p>
    <w:p>
      <w:pPr>
        <w:spacing w:line="560" w:lineRule="exact"/>
        <w:ind w:firstLine="627" w:firstLineChars="196"/>
        <w:rPr>
          <w:rFonts w:hint="eastAsia" w:ascii="仿宋_GB2312" w:hAnsi="宋体" w:eastAsia="仿宋_GB2312"/>
          <w:sz w:val="32"/>
          <w:szCs w:val="32"/>
        </w:rPr>
      </w:pPr>
      <w:r>
        <w:rPr>
          <w:rFonts w:hint="eastAsia" w:ascii="仿宋_GB2312" w:hAnsi="仿宋_GB2312" w:eastAsia="仿宋_GB2312"/>
          <w:color w:val="auto"/>
          <w:sz w:val="32"/>
        </w:rPr>
        <w:t>本部门201</w:t>
      </w:r>
      <w:r>
        <w:rPr>
          <w:rFonts w:hint="eastAsia" w:ascii="仿宋_GB2312" w:hAnsi="仿宋_GB2312" w:eastAsia="仿宋_GB2312"/>
          <w:color w:val="auto"/>
          <w:sz w:val="32"/>
          <w:lang w:val="en-US" w:eastAsia="zh-CN"/>
        </w:rPr>
        <w:t>9</w:t>
      </w:r>
      <w:r>
        <w:rPr>
          <w:rFonts w:hint="eastAsia" w:ascii="仿宋_GB2312" w:hAnsi="仿宋_GB2312" w:eastAsia="仿宋_GB2312"/>
          <w:color w:val="auto"/>
          <w:sz w:val="32"/>
        </w:rPr>
        <w:t>年度收入总计</w:t>
      </w:r>
      <w:r>
        <w:rPr>
          <w:rFonts w:hint="eastAsia" w:ascii="仿宋_GB2312" w:hAnsi="仿宋_GB2312" w:eastAsia="仿宋_GB2312"/>
          <w:color w:val="auto"/>
          <w:sz w:val="32"/>
          <w:lang w:val="en-US" w:eastAsia="zh-CN"/>
        </w:rPr>
        <w:t>128.87</w:t>
      </w:r>
      <w:r>
        <w:rPr>
          <w:rFonts w:hint="eastAsia" w:ascii="仿宋_GB2312" w:hAnsi="仿宋_GB2312" w:eastAsia="仿宋_GB2312"/>
          <w:color w:val="auto"/>
          <w:sz w:val="32"/>
        </w:rPr>
        <w:t>万元，支出总计</w:t>
      </w:r>
      <w:r>
        <w:rPr>
          <w:rFonts w:hint="eastAsia" w:ascii="仿宋_GB2312" w:hAnsi="仿宋_GB2312" w:eastAsia="仿宋_GB2312"/>
          <w:color w:val="auto"/>
          <w:sz w:val="32"/>
          <w:lang w:val="en-US" w:eastAsia="zh-CN"/>
        </w:rPr>
        <w:t>128.87</w:t>
      </w:r>
      <w:r>
        <w:rPr>
          <w:rFonts w:hint="eastAsia" w:ascii="仿宋_GB2312" w:hAnsi="仿宋_GB2312" w:eastAsia="仿宋_GB2312"/>
          <w:color w:val="auto"/>
          <w:sz w:val="32"/>
        </w:rPr>
        <w:t>万元。与201</w:t>
      </w:r>
      <w:r>
        <w:rPr>
          <w:rFonts w:hint="eastAsia" w:ascii="仿宋_GB2312" w:hAnsi="仿宋_GB2312" w:eastAsia="仿宋_GB2312"/>
          <w:color w:val="auto"/>
          <w:sz w:val="32"/>
          <w:lang w:val="en-US" w:eastAsia="zh-CN"/>
        </w:rPr>
        <w:t>8</w:t>
      </w:r>
      <w:r>
        <w:rPr>
          <w:rFonts w:hint="eastAsia" w:ascii="仿宋_GB2312" w:hAnsi="仿宋_GB2312" w:eastAsia="仿宋_GB2312"/>
          <w:color w:val="auto"/>
          <w:sz w:val="32"/>
        </w:rPr>
        <w:t>年度相比，</w:t>
      </w:r>
      <w:r>
        <w:rPr>
          <w:rFonts w:hint="eastAsia" w:ascii="仿宋_GB2312" w:hAnsi="宋体" w:eastAsia="仿宋_GB2312"/>
          <w:sz w:val="32"/>
          <w:szCs w:val="32"/>
        </w:rPr>
        <w:t>比上年减少14.50万元，减少10.11%，增减原因：</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1、2019年退休人员因病死亡减少1人，并且退休人员工资在社保发放。</w:t>
      </w:r>
    </w:p>
    <w:p>
      <w:pPr>
        <w:spacing w:line="560" w:lineRule="exact"/>
        <w:ind w:firstLine="627" w:firstLineChars="196"/>
        <w:rPr>
          <w:rFonts w:hint="default" w:ascii="仿宋_GB2312" w:hAnsi="Times New Roman" w:eastAsia="仿宋_GB2312" w:cs="仿宋_GB2312"/>
          <w:kern w:val="0"/>
          <w:sz w:val="32"/>
          <w:szCs w:val="32"/>
          <w:lang w:val="en-US" w:eastAsia="zh-CN" w:bidi="ar"/>
        </w:rPr>
      </w:pPr>
      <w:r>
        <w:rPr>
          <w:rFonts w:hint="eastAsia" w:ascii="仿宋_GB2312" w:hAnsi="宋体" w:eastAsia="仿宋_GB2312"/>
          <w:sz w:val="32"/>
          <w:szCs w:val="32"/>
        </w:rPr>
        <w:t>2、压减公用支出。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二、关于</w:t>
      </w:r>
      <w:r>
        <w:rPr>
          <w:rFonts w:hint="eastAsia" w:ascii="仿宋_GB2312" w:hAnsi="Times New Roman" w:eastAsia="仿宋_GB2312" w:cs="仿宋_GB2312"/>
          <w:sz w:val="32"/>
          <w:szCs w:val="32"/>
          <w:lang w:val="en-US"/>
        </w:rPr>
        <w:t>2019</w:t>
      </w:r>
      <w:r>
        <w:rPr>
          <w:rFonts w:hint="eastAsia" w:ascii="仿宋_GB2312" w:hAnsi="Times New Roman" w:eastAsia="仿宋_GB2312" w:cs="仿宋_GB2312"/>
          <w:sz w:val="32"/>
          <w:szCs w:val="32"/>
        </w:rPr>
        <w:t>年度决算情况说明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sz w:val="32"/>
          <w:szCs w:val="32"/>
          <w:lang w:val="en-US"/>
        </w:rPr>
      </w:pPr>
      <w:r>
        <w:rPr>
          <w:rFonts w:ascii="楷体" w:hAnsi="Times New Roman" w:eastAsia="楷体" w:cs="楷体"/>
          <w:sz w:val="32"/>
          <w:szCs w:val="32"/>
        </w:rPr>
        <w:t>（一）关于收支情况总体说明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年度收入总计</w:t>
      </w:r>
      <w:r>
        <w:rPr>
          <w:rFonts w:hint="eastAsia" w:ascii="仿宋_GB2312" w:hAnsi="Times New Roman" w:eastAsia="仿宋_GB2312" w:cs="仿宋_GB2312"/>
          <w:color w:val="auto"/>
          <w:sz w:val="32"/>
          <w:szCs w:val="32"/>
          <w:lang w:val="en-US"/>
        </w:rPr>
        <w:t>519.25</w:t>
      </w:r>
      <w:r>
        <w:rPr>
          <w:rFonts w:hint="eastAsia" w:ascii="仿宋_GB2312" w:hAnsi="Times New Roman" w:eastAsia="仿宋_GB2312" w:cs="仿宋_GB2312"/>
          <w:color w:val="auto"/>
          <w:sz w:val="32"/>
          <w:szCs w:val="32"/>
        </w:rPr>
        <w:t>万元，其中：本年收入合计</w:t>
      </w:r>
      <w:r>
        <w:rPr>
          <w:rFonts w:hint="eastAsia" w:ascii="仿宋_GB2312" w:hAnsi="Times New Roman" w:eastAsia="仿宋_GB2312" w:cs="仿宋_GB2312"/>
          <w:color w:val="auto"/>
          <w:sz w:val="32"/>
          <w:szCs w:val="32"/>
          <w:lang w:val="en-US"/>
        </w:rPr>
        <w:t>457.00</w:t>
      </w:r>
      <w:r>
        <w:rPr>
          <w:rFonts w:hint="eastAsia" w:ascii="仿宋_GB2312" w:hAnsi="Times New Roman" w:eastAsia="仿宋_GB2312" w:cs="仿宋_GB2312"/>
          <w:color w:val="auto"/>
          <w:sz w:val="32"/>
          <w:szCs w:val="32"/>
        </w:rPr>
        <w:t>万元，用事业基金弥补收支差额</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万元，年初结转和结余</w:t>
      </w:r>
      <w:r>
        <w:rPr>
          <w:rFonts w:hint="eastAsia" w:ascii="仿宋_GB2312" w:hAnsi="Times New Roman" w:eastAsia="仿宋_GB2312" w:cs="仿宋_GB2312"/>
          <w:color w:val="auto"/>
          <w:sz w:val="32"/>
          <w:szCs w:val="32"/>
          <w:lang w:val="en-US"/>
        </w:rPr>
        <w:t>62.25</w:t>
      </w:r>
      <w:r>
        <w:rPr>
          <w:rFonts w:hint="eastAsia" w:ascii="仿宋_GB2312" w:hAnsi="Times New Roman" w:eastAsia="仿宋_GB2312" w:cs="仿宋_GB2312"/>
          <w:color w:val="auto"/>
          <w:sz w:val="32"/>
          <w:szCs w:val="32"/>
        </w:rPr>
        <w:t>万元；支出总计</w:t>
      </w:r>
      <w:r>
        <w:rPr>
          <w:rFonts w:hint="eastAsia" w:ascii="仿宋_GB2312" w:hAnsi="Times New Roman" w:eastAsia="仿宋_GB2312" w:cs="仿宋_GB2312"/>
          <w:color w:val="auto"/>
          <w:sz w:val="32"/>
          <w:szCs w:val="32"/>
          <w:lang w:val="en-US"/>
        </w:rPr>
        <w:t>519.25</w:t>
      </w:r>
      <w:r>
        <w:rPr>
          <w:rFonts w:hint="eastAsia" w:ascii="仿宋_GB2312" w:hAnsi="Times New Roman" w:eastAsia="仿宋_GB2312" w:cs="仿宋_GB2312"/>
          <w:color w:val="auto"/>
          <w:sz w:val="32"/>
          <w:szCs w:val="32"/>
        </w:rPr>
        <w:t>万元，其中：结余分配</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万元，年末结转和结余</w:t>
      </w:r>
      <w:r>
        <w:rPr>
          <w:rFonts w:hint="eastAsia" w:ascii="仿宋_GB2312" w:hAnsi="Times New Roman" w:eastAsia="仿宋_GB2312" w:cs="仿宋_GB2312"/>
          <w:color w:val="auto"/>
          <w:sz w:val="32"/>
          <w:szCs w:val="32"/>
          <w:lang w:val="en-US"/>
        </w:rPr>
        <w:t>154.74</w:t>
      </w:r>
      <w:r>
        <w:rPr>
          <w:rFonts w:hint="eastAsia" w:ascii="仿宋_GB2312" w:hAnsi="Times New Roman" w:eastAsia="仿宋_GB2312" w:cs="仿宋_GB2312"/>
          <w:color w:val="auto"/>
          <w:sz w:val="32"/>
          <w:szCs w:val="32"/>
        </w:rPr>
        <w:t>万元。与</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年度相比，收入总计增加</w:t>
      </w:r>
      <w:r>
        <w:rPr>
          <w:rFonts w:hint="eastAsia" w:ascii="仿宋_GB2312" w:hAnsi="Times New Roman" w:eastAsia="仿宋_GB2312" w:cs="仿宋_GB2312"/>
          <w:color w:val="auto"/>
          <w:sz w:val="32"/>
          <w:szCs w:val="32"/>
          <w:lang w:val="en-US"/>
        </w:rPr>
        <w:t>222.41</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rPr>
        <w:t>74.90%</w:t>
      </w:r>
      <w:r>
        <w:rPr>
          <w:rFonts w:hint="eastAsia" w:ascii="仿宋_GB2312" w:hAnsi="Times New Roman" w:eastAsia="仿宋_GB2312" w:cs="仿宋_GB2312"/>
          <w:color w:val="auto"/>
          <w:sz w:val="32"/>
          <w:szCs w:val="32"/>
        </w:rPr>
        <w:t>；支出总计增加</w:t>
      </w:r>
      <w:r>
        <w:rPr>
          <w:rFonts w:hint="eastAsia" w:ascii="仿宋_GB2312" w:hAnsi="Times New Roman" w:eastAsia="仿宋_GB2312" w:cs="仿宋_GB2312"/>
          <w:color w:val="auto"/>
          <w:sz w:val="32"/>
          <w:szCs w:val="32"/>
          <w:lang w:val="en-US"/>
        </w:rPr>
        <w:t>222.41</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rPr>
        <w:t>74.90%</w:t>
      </w:r>
      <w:r>
        <w:rPr>
          <w:rFonts w:hint="eastAsia" w:ascii="仿宋_GB2312" w:hAnsi="Times New Roman" w:eastAsia="仿宋_GB2312" w:cs="仿宋_GB2312"/>
          <w:color w:val="auto"/>
          <w:sz w:val="32"/>
          <w:szCs w:val="32"/>
        </w:rPr>
        <w:t>。主要原因</w:t>
      </w:r>
      <w:r>
        <w:rPr>
          <w:rFonts w:hint="eastAsia" w:ascii="仿宋_GB2312" w:hAnsi="Times New Roman" w:eastAsia="仿宋_GB2312" w:cs="仿宋_GB2312"/>
          <w:color w:val="auto"/>
          <w:sz w:val="32"/>
          <w:szCs w:val="32"/>
          <w:lang w:eastAsia="zh-CN"/>
        </w:rPr>
        <w:t>是</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val="en-US" w:eastAsia="zh-CN"/>
        </w:rPr>
        <w:t>2019年搬入新场馆支出费用增加</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（二）关于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年度收入决算情况说明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eastAsia" w:ascii="仿宋_GB2312" w:hAnsi="Times New Roman" w:eastAsia="仿宋_GB2312" w:cs="仿宋_GB2312"/>
          <w:color w:val="auto"/>
          <w:sz w:val="32"/>
          <w:szCs w:val="32"/>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年度收入合计</w:t>
      </w:r>
      <w:r>
        <w:rPr>
          <w:rFonts w:hint="eastAsia" w:ascii="仿宋_GB2312" w:hAnsi="Times New Roman" w:eastAsia="仿宋_GB2312" w:cs="仿宋_GB2312"/>
          <w:color w:val="auto"/>
          <w:sz w:val="32"/>
          <w:szCs w:val="32"/>
          <w:lang w:val="en-US"/>
        </w:rPr>
        <w:t>457.00</w:t>
      </w:r>
      <w:r>
        <w:rPr>
          <w:rFonts w:hint="eastAsia" w:ascii="仿宋_GB2312" w:hAnsi="Times New Roman" w:eastAsia="仿宋_GB2312" w:cs="仿宋_GB2312"/>
          <w:color w:val="auto"/>
          <w:sz w:val="32"/>
          <w:szCs w:val="32"/>
        </w:rPr>
        <w:t>万元，其中：财政拨款收入</w:t>
      </w:r>
      <w:r>
        <w:rPr>
          <w:rFonts w:hint="eastAsia" w:ascii="仿宋_GB2312" w:hAnsi="Times New Roman" w:eastAsia="仿宋_GB2312" w:cs="仿宋_GB2312"/>
          <w:color w:val="auto"/>
          <w:sz w:val="32"/>
          <w:szCs w:val="32"/>
          <w:lang w:val="en-US"/>
        </w:rPr>
        <w:t>457.00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100.00%</w:t>
      </w:r>
      <w:r>
        <w:rPr>
          <w:rFonts w:hint="eastAsia" w:ascii="仿宋_GB2312" w:hAnsi="Times New Roman" w:eastAsia="仿宋_GB2312" w:cs="仿宋_GB2312"/>
          <w:color w:val="auto"/>
          <w:sz w:val="32"/>
          <w:szCs w:val="32"/>
        </w:rPr>
        <w:t>；事业收入</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；经营收入</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；其他收入</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（三）关于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eastAsia" w:ascii="仿宋_GB2312" w:hAnsi="Times New Roman" w:eastAsia="仿宋_GB2312" w:cs="仿宋_GB2312"/>
          <w:color w:val="auto"/>
          <w:sz w:val="32"/>
          <w:szCs w:val="32"/>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年度支出合计</w:t>
      </w:r>
      <w:r>
        <w:rPr>
          <w:rFonts w:hint="eastAsia" w:ascii="仿宋_GB2312" w:hAnsi="Times New Roman" w:eastAsia="仿宋_GB2312" w:cs="仿宋_GB2312"/>
          <w:color w:val="auto"/>
          <w:sz w:val="32"/>
          <w:szCs w:val="32"/>
          <w:lang w:val="en-US"/>
        </w:rPr>
        <w:t>364.51</w:t>
      </w:r>
      <w:r>
        <w:rPr>
          <w:rFonts w:hint="eastAsia" w:ascii="仿宋_GB2312" w:hAnsi="Times New Roman" w:eastAsia="仿宋_GB2312" w:cs="仿宋_GB2312"/>
          <w:color w:val="auto"/>
          <w:sz w:val="32"/>
          <w:szCs w:val="32"/>
        </w:rPr>
        <w:t>万元，其中：基本支出</w:t>
      </w:r>
      <w:r>
        <w:rPr>
          <w:rFonts w:hint="eastAsia" w:ascii="仿宋_GB2312" w:hAnsi="Times New Roman" w:eastAsia="仿宋_GB2312" w:cs="仿宋_GB2312"/>
          <w:color w:val="auto"/>
          <w:sz w:val="32"/>
          <w:szCs w:val="32"/>
          <w:lang w:val="en-US"/>
        </w:rPr>
        <w:t>211.43</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58.00%</w:t>
      </w:r>
      <w:r>
        <w:rPr>
          <w:rFonts w:hint="eastAsia" w:ascii="仿宋_GB2312" w:hAnsi="Times New Roman" w:eastAsia="仿宋_GB2312" w:cs="仿宋_GB2312"/>
          <w:color w:val="auto"/>
          <w:sz w:val="32"/>
          <w:szCs w:val="32"/>
        </w:rPr>
        <w:t>；项目支出</w:t>
      </w:r>
      <w:r>
        <w:rPr>
          <w:rFonts w:hint="eastAsia" w:ascii="仿宋_GB2312" w:hAnsi="Times New Roman" w:eastAsia="仿宋_GB2312" w:cs="仿宋_GB2312"/>
          <w:color w:val="auto"/>
          <w:sz w:val="32"/>
          <w:szCs w:val="32"/>
          <w:lang w:val="en-US"/>
        </w:rPr>
        <w:t>153.08</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42.00%</w:t>
      </w:r>
      <w:r>
        <w:rPr>
          <w:rFonts w:hint="eastAsia" w:ascii="仿宋_GB2312" w:hAnsi="Times New Roman" w:eastAsia="仿宋_GB2312" w:cs="仿宋_GB2312"/>
          <w:color w:val="auto"/>
          <w:sz w:val="32"/>
          <w:szCs w:val="32"/>
        </w:rPr>
        <w:t>；经营支出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（四）关于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年度财政拨款收入支出决算总体情况说明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jc w:val="both"/>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年度财政拨款收入总计</w:t>
      </w:r>
      <w:r>
        <w:rPr>
          <w:rFonts w:hint="eastAsia" w:ascii="仿宋_GB2312" w:hAnsi="Times New Roman" w:eastAsia="仿宋_GB2312" w:cs="仿宋_GB2312"/>
          <w:color w:val="auto"/>
          <w:sz w:val="32"/>
          <w:szCs w:val="32"/>
          <w:lang w:val="en-US"/>
        </w:rPr>
        <w:t>519.25</w:t>
      </w:r>
      <w:r>
        <w:rPr>
          <w:rFonts w:hint="eastAsia" w:ascii="仿宋_GB2312" w:hAnsi="Times New Roman" w:eastAsia="仿宋_GB2312" w:cs="仿宋_GB2312"/>
          <w:color w:val="auto"/>
          <w:sz w:val="32"/>
          <w:szCs w:val="32"/>
        </w:rPr>
        <w:t>万元，其中：年初结转和结余</w:t>
      </w:r>
      <w:r>
        <w:rPr>
          <w:rFonts w:hint="eastAsia" w:ascii="仿宋_GB2312" w:hAnsi="Times New Roman" w:eastAsia="仿宋_GB2312" w:cs="仿宋_GB2312"/>
          <w:color w:val="auto"/>
          <w:sz w:val="32"/>
          <w:szCs w:val="32"/>
          <w:lang w:val="en-US"/>
        </w:rPr>
        <w:t>62.25</w:t>
      </w:r>
      <w:r>
        <w:rPr>
          <w:rFonts w:hint="eastAsia" w:ascii="仿宋_GB2312" w:hAnsi="Times New Roman" w:eastAsia="仿宋_GB2312" w:cs="仿宋_GB2312"/>
          <w:color w:val="auto"/>
          <w:sz w:val="32"/>
          <w:szCs w:val="32"/>
        </w:rPr>
        <w:t>万元；支出总计</w:t>
      </w:r>
      <w:r>
        <w:rPr>
          <w:rFonts w:hint="eastAsia" w:ascii="仿宋_GB2312" w:hAnsi="Times New Roman" w:eastAsia="仿宋_GB2312" w:cs="仿宋_GB2312"/>
          <w:color w:val="auto"/>
          <w:sz w:val="32"/>
          <w:szCs w:val="32"/>
          <w:lang w:val="en-US"/>
        </w:rPr>
        <w:t>519.25</w:t>
      </w:r>
      <w:r>
        <w:rPr>
          <w:rFonts w:hint="eastAsia" w:ascii="仿宋_GB2312" w:hAnsi="Times New Roman" w:eastAsia="仿宋_GB2312" w:cs="仿宋_GB2312"/>
          <w:color w:val="auto"/>
          <w:sz w:val="32"/>
          <w:szCs w:val="32"/>
        </w:rPr>
        <w:t>万元，其中：年末结转和结余</w:t>
      </w:r>
      <w:r>
        <w:rPr>
          <w:rFonts w:hint="eastAsia" w:ascii="仿宋_GB2312" w:hAnsi="Times New Roman" w:eastAsia="仿宋_GB2312" w:cs="仿宋_GB2312"/>
          <w:color w:val="auto"/>
          <w:sz w:val="32"/>
          <w:szCs w:val="32"/>
          <w:lang w:val="en-US"/>
        </w:rPr>
        <w:t>154.74</w:t>
      </w:r>
      <w:r>
        <w:rPr>
          <w:rFonts w:hint="eastAsia" w:ascii="仿宋_GB2312" w:hAnsi="Times New Roman" w:eastAsia="仿宋_GB2312" w:cs="仿宋_GB2312"/>
          <w:color w:val="auto"/>
          <w:sz w:val="32"/>
          <w:szCs w:val="32"/>
        </w:rPr>
        <w:t>万元。与</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年度相比，收入增加</w:t>
      </w:r>
      <w:r>
        <w:rPr>
          <w:rFonts w:hint="eastAsia" w:ascii="仿宋_GB2312" w:hAnsi="Times New Roman" w:eastAsia="仿宋_GB2312" w:cs="仿宋_GB2312"/>
          <w:color w:val="auto"/>
          <w:sz w:val="32"/>
          <w:szCs w:val="32"/>
          <w:lang w:val="en-US"/>
        </w:rPr>
        <w:t>222.41</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rPr>
        <w:t>74.90%</w:t>
      </w:r>
      <w:r>
        <w:rPr>
          <w:rFonts w:hint="eastAsia" w:ascii="仿宋_GB2312" w:hAnsi="Times New Roman" w:eastAsia="仿宋_GB2312" w:cs="仿宋_GB2312"/>
          <w:color w:val="auto"/>
          <w:sz w:val="32"/>
          <w:szCs w:val="32"/>
        </w:rPr>
        <w:t>；支出增加</w:t>
      </w:r>
      <w:r>
        <w:rPr>
          <w:rFonts w:hint="eastAsia" w:ascii="仿宋_GB2312" w:hAnsi="Times New Roman" w:eastAsia="仿宋_GB2312" w:cs="仿宋_GB2312"/>
          <w:color w:val="auto"/>
          <w:sz w:val="32"/>
          <w:szCs w:val="32"/>
          <w:lang w:val="en-US"/>
        </w:rPr>
        <w:t>222.41</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rPr>
        <w:t>74.90%</w:t>
      </w:r>
      <w:r>
        <w:rPr>
          <w:rFonts w:hint="eastAsia" w:ascii="仿宋_GB2312" w:hAnsi="Times New Roman" w:eastAsia="仿宋_GB2312" w:cs="仿宋_GB2312"/>
          <w:color w:val="auto"/>
          <w:sz w:val="32"/>
          <w:szCs w:val="32"/>
        </w:rPr>
        <w:t>。主要原因</w:t>
      </w:r>
      <w:r>
        <w:rPr>
          <w:rFonts w:hint="eastAsia" w:ascii="仿宋_GB2312" w:hAnsi="Times New Roman" w:eastAsia="仿宋_GB2312" w:cs="仿宋_GB2312"/>
          <w:color w:val="auto"/>
          <w:sz w:val="32"/>
          <w:szCs w:val="32"/>
          <w:lang w:eastAsia="zh-CN"/>
        </w:rPr>
        <w:t>是</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val="en-US" w:eastAsia="zh-CN"/>
        </w:rPr>
        <w:t>2019年搬入新场馆支出费用增加</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（五）关于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年度一般公共预算财政拨款支出决算情况说明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年度一般公共预算财政拨款支出合计</w:t>
      </w:r>
      <w:r>
        <w:rPr>
          <w:rFonts w:hint="eastAsia" w:ascii="仿宋_GB2312" w:hAnsi="Times New Roman" w:eastAsia="仿宋_GB2312" w:cs="仿宋_GB2312"/>
          <w:color w:val="auto"/>
          <w:sz w:val="32"/>
          <w:szCs w:val="32"/>
          <w:lang w:val="en-US"/>
        </w:rPr>
        <w:t>280.53</w:t>
      </w:r>
      <w:r>
        <w:rPr>
          <w:rFonts w:hint="eastAsia" w:ascii="仿宋_GB2312" w:hAnsi="Times New Roman" w:eastAsia="仿宋_GB2312" w:cs="仿宋_GB2312"/>
          <w:color w:val="auto"/>
          <w:sz w:val="32"/>
          <w:szCs w:val="32"/>
        </w:rPr>
        <w:t>万元，其中：基本支出</w:t>
      </w:r>
      <w:r>
        <w:rPr>
          <w:rFonts w:hint="eastAsia" w:ascii="仿宋_GB2312" w:hAnsi="Times New Roman" w:eastAsia="仿宋_GB2312" w:cs="仿宋_GB2312"/>
          <w:color w:val="auto"/>
          <w:sz w:val="32"/>
          <w:szCs w:val="32"/>
          <w:lang w:val="en-US"/>
        </w:rPr>
        <w:t>211.43</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75.40%</w:t>
      </w:r>
      <w:r>
        <w:rPr>
          <w:rFonts w:hint="eastAsia" w:ascii="仿宋_GB2312" w:hAnsi="Times New Roman" w:eastAsia="仿宋_GB2312" w:cs="仿宋_GB2312"/>
          <w:color w:val="auto"/>
          <w:sz w:val="32"/>
          <w:szCs w:val="32"/>
        </w:rPr>
        <w:t>；项目支出</w:t>
      </w:r>
      <w:r>
        <w:rPr>
          <w:rFonts w:hint="eastAsia" w:ascii="仿宋_GB2312" w:hAnsi="Times New Roman" w:eastAsia="仿宋_GB2312" w:cs="仿宋_GB2312"/>
          <w:color w:val="auto"/>
          <w:sz w:val="32"/>
          <w:szCs w:val="32"/>
          <w:lang w:val="en-US"/>
        </w:rPr>
        <w:t>69.10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24.60%</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（六）关于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年度一般公共预算财政拨款基本支出决算情况说明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jc w:val="both"/>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年度一般公共预算财政拨款基本支出</w:t>
      </w:r>
      <w:r>
        <w:rPr>
          <w:rFonts w:hint="eastAsia" w:ascii="仿宋_GB2312" w:hAnsi="Times New Roman" w:eastAsia="仿宋_GB2312" w:cs="仿宋_GB2312"/>
          <w:color w:val="auto"/>
          <w:sz w:val="32"/>
          <w:szCs w:val="32"/>
          <w:lang w:val="en-US"/>
        </w:rPr>
        <w:t>211.43</w:t>
      </w:r>
      <w:r>
        <w:rPr>
          <w:rFonts w:hint="eastAsia" w:ascii="仿宋_GB2312" w:hAnsi="Times New Roman" w:eastAsia="仿宋_GB2312" w:cs="仿宋_GB2312"/>
          <w:color w:val="auto"/>
          <w:sz w:val="32"/>
          <w:szCs w:val="32"/>
        </w:rPr>
        <w:t>万元，其中：人员经费</w:t>
      </w:r>
      <w:r>
        <w:rPr>
          <w:rFonts w:hint="eastAsia" w:ascii="仿宋_GB2312" w:hAnsi="Times New Roman" w:eastAsia="仿宋_GB2312" w:cs="仿宋_GB2312"/>
          <w:color w:val="auto"/>
          <w:sz w:val="32"/>
          <w:szCs w:val="32"/>
          <w:lang w:val="en-US"/>
        </w:rPr>
        <w:t>27.16</w:t>
      </w:r>
      <w:r>
        <w:rPr>
          <w:rFonts w:hint="eastAsia" w:ascii="仿宋_GB2312" w:hAnsi="Times New Roman" w:eastAsia="仿宋_GB2312" w:cs="仿宋_GB2312"/>
          <w:color w:val="auto"/>
          <w:sz w:val="32"/>
          <w:szCs w:val="32"/>
        </w:rPr>
        <w:t>万元，主要包括：基本工资</w:t>
      </w:r>
      <w:r>
        <w:rPr>
          <w:rFonts w:hint="eastAsia" w:ascii="仿宋_GB2312" w:hAnsi="Times New Roman" w:eastAsia="仿宋_GB2312" w:cs="仿宋_GB2312"/>
          <w:color w:val="auto"/>
          <w:sz w:val="32"/>
          <w:szCs w:val="32"/>
          <w:lang w:val="en-US" w:eastAsia="zh-CN"/>
        </w:rPr>
        <w:t>4.89万元</w:t>
      </w:r>
      <w:r>
        <w:rPr>
          <w:rFonts w:hint="eastAsia" w:ascii="仿宋_GB2312" w:hAnsi="Times New Roman" w:eastAsia="仿宋_GB2312" w:cs="仿宋_GB2312"/>
          <w:color w:val="auto"/>
          <w:sz w:val="32"/>
          <w:szCs w:val="32"/>
        </w:rPr>
        <w:t>、津贴补贴</w:t>
      </w:r>
      <w:r>
        <w:rPr>
          <w:rFonts w:hint="eastAsia" w:ascii="仿宋_GB2312" w:hAnsi="Times New Roman" w:eastAsia="仿宋_GB2312" w:cs="仿宋_GB2312"/>
          <w:color w:val="auto"/>
          <w:sz w:val="32"/>
          <w:szCs w:val="32"/>
          <w:lang w:val="en-US" w:eastAsia="zh-CN"/>
        </w:rPr>
        <w:t>1.8万元</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eastAsia="zh-CN"/>
        </w:rPr>
        <w:t>绩效工资</w:t>
      </w:r>
      <w:r>
        <w:rPr>
          <w:rFonts w:hint="eastAsia" w:ascii="仿宋_GB2312" w:hAnsi="Times New Roman" w:eastAsia="仿宋_GB2312" w:cs="仿宋_GB2312"/>
          <w:color w:val="auto"/>
          <w:sz w:val="32"/>
          <w:szCs w:val="32"/>
          <w:lang w:val="en-US" w:eastAsia="zh-CN"/>
        </w:rPr>
        <w:t>2.86万元</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eastAsia="zh-CN"/>
        </w:rPr>
        <w:t>机关事业单位基本养老保险费</w:t>
      </w:r>
      <w:r>
        <w:rPr>
          <w:rFonts w:hint="eastAsia" w:ascii="仿宋_GB2312" w:hAnsi="Times New Roman" w:eastAsia="仿宋_GB2312" w:cs="仿宋_GB2312"/>
          <w:color w:val="auto"/>
          <w:sz w:val="32"/>
          <w:szCs w:val="32"/>
          <w:lang w:val="en-US" w:eastAsia="zh-CN"/>
        </w:rPr>
        <w:t>1.51万元、</w:t>
      </w:r>
      <w:r>
        <w:rPr>
          <w:rFonts w:hint="eastAsia" w:ascii="仿宋_GB2312" w:hAnsi="Times New Roman" w:eastAsia="仿宋_GB2312" w:cs="仿宋_GB2312"/>
          <w:color w:val="auto"/>
          <w:sz w:val="32"/>
          <w:szCs w:val="32"/>
          <w:lang w:eastAsia="zh-CN"/>
        </w:rPr>
        <w:t>职工基本医疗保险</w:t>
      </w:r>
      <w:r>
        <w:rPr>
          <w:rFonts w:hint="eastAsia" w:ascii="仿宋_GB2312" w:hAnsi="Times New Roman" w:eastAsia="仿宋_GB2312" w:cs="仿宋_GB2312"/>
          <w:color w:val="auto"/>
          <w:sz w:val="32"/>
          <w:szCs w:val="32"/>
          <w:lang w:val="en-US" w:eastAsia="zh-CN"/>
        </w:rPr>
        <w:t>0.81万元、公务员医疗补助0.48万元、住房公积金1.21万元、其他工资福利支出11.52万元、退休费1.02万元</w:t>
      </w:r>
      <w:r>
        <w:rPr>
          <w:rFonts w:hint="eastAsia" w:ascii="Times New Roman" w:hAnsi="Times New Roman" w:eastAsia="仿宋_GB2312" w:cs="Times New Roman"/>
          <w:color w:val="auto"/>
          <w:sz w:val="32"/>
          <w:szCs w:val="32"/>
          <w:lang w:val="en-US" w:eastAsia="zh-CN"/>
        </w:rPr>
        <w:t>、生活补助</w:t>
      </w:r>
      <w:r>
        <w:rPr>
          <w:rFonts w:hint="eastAsia" w:ascii="仿宋_GB2312" w:hAnsi="仿宋_GB2312" w:eastAsia="仿宋_GB2312" w:cs="仿宋_GB2312"/>
          <w:color w:val="auto"/>
          <w:sz w:val="32"/>
          <w:szCs w:val="32"/>
          <w:lang w:val="en-US" w:eastAsia="zh-CN"/>
        </w:rPr>
        <w:t>1.06</w:t>
      </w:r>
      <w:r>
        <w:rPr>
          <w:rFonts w:hint="eastAsia" w:ascii="Times New Roman" w:hAnsi="Times New Roman" w:eastAsia="仿宋_GB2312" w:cs="Times New Roman"/>
          <w:color w:val="auto"/>
          <w:sz w:val="32"/>
          <w:szCs w:val="32"/>
          <w:lang w:val="en-US" w:eastAsia="zh-CN"/>
        </w:rPr>
        <w:t>万元</w:t>
      </w:r>
      <w:r>
        <w:rPr>
          <w:rFonts w:hint="eastAsia" w:ascii="仿宋_GB2312" w:hAnsi="Times New Roman" w:eastAsia="仿宋_GB2312" w:cs="仿宋_GB2312"/>
          <w:color w:val="auto"/>
          <w:sz w:val="32"/>
          <w:szCs w:val="32"/>
        </w:rPr>
        <w:t>，较上年减少</w:t>
      </w:r>
      <w:r>
        <w:rPr>
          <w:rFonts w:hint="eastAsia" w:ascii="仿宋_GB2312" w:hAnsi="Times New Roman" w:eastAsia="仿宋_GB2312" w:cs="仿宋_GB2312"/>
          <w:color w:val="auto"/>
          <w:sz w:val="32"/>
          <w:szCs w:val="32"/>
          <w:lang w:val="en-US"/>
        </w:rPr>
        <w:t>11.98</w:t>
      </w:r>
      <w:r>
        <w:rPr>
          <w:rFonts w:hint="eastAsia" w:ascii="仿宋_GB2312" w:hAnsi="Times New Roman" w:eastAsia="仿宋_GB2312" w:cs="仿宋_GB2312"/>
          <w:color w:val="auto"/>
          <w:sz w:val="32"/>
          <w:szCs w:val="32"/>
        </w:rPr>
        <w:t>万元，主要原因是：</w:t>
      </w:r>
      <w:r>
        <w:rPr>
          <w:rFonts w:hint="eastAsia" w:ascii="仿宋_GB2312" w:hAnsi="Times New Roman" w:eastAsia="仿宋_GB2312" w:cs="仿宋_GB2312"/>
          <w:color w:val="auto"/>
          <w:sz w:val="32"/>
          <w:szCs w:val="32"/>
          <w:lang w:eastAsia="zh-CN"/>
        </w:rPr>
        <w:t>退休人员工资由社保发放</w:t>
      </w:r>
      <w:r>
        <w:rPr>
          <w:rFonts w:hint="eastAsia" w:ascii="仿宋_GB2312" w:hAnsi="Times New Roman" w:eastAsia="仿宋_GB2312" w:cs="仿宋_GB2312"/>
          <w:color w:val="auto"/>
          <w:sz w:val="32"/>
          <w:szCs w:val="32"/>
        </w:rPr>
        <w:t>；公用经费</w:t>
      </w:r>
      <w:r>
        <w:rPr>
          <w:rFonts w:hint="eastAsia" w:ascii="仿宋_GB2312" w:hAnsi="Times New Roman" w:eastAsia="仿宋_GB2312" w:cs="仿宋_GB2312"/>
          <w:color w:val="auto"/>
          <w:sz w:val="32"/>
          <w:szCs w:val="32"/>
          <w:lang w:val="en-US"/>
        </w:rPr>
        <w:t>184.27</w:t>
      </w:r>
      <w:r>
        <w:rPr>
          <w:rFonts w:hint="eastAsia" w:ascii="仿宋_GB2312" w:hAnsi="Times New Roman" w:eastAsia="仿宋_GB2312" w:cs="仿宋_GB2312"/>
          <w:color w:val="auto"/>
          <w:sz w:val="32"/>
          <w:szCs w:val="32"/>
        </w:rPr>
        <w:t>万元，主要包括：办公费</w:t>
      </w:r>
      <w:r>
        <w:rPr>
          <w:rFonts w:hint="eastAsia" w:ascii="仿宋_GB2312" w:hAnsi="Times New Roman" w:eastAsia="仿宋_GB2312" w:cs="仿宋_GB2312"/>
          <w:color w:val="auto"/>
          <w:sz w:val="32"/>
          <w:szCs w:val="32"/>
          <w:lang w:val="en-US" w:eastAsia="zh-CN"/>
        </w:rPr>
        <w:t>1.2万元</w:t>
      </w:r>
      <w:r>
        <w:rPr>
          <w:rFonts w:hint="eastAsia" w:ascii="仿宋_GB2312" w:hAnsi="Times New Roman" w:eastAsia="仿宋_GB2312" w:cs="仿宋_GB2312"/>
          <w:color w:val="auto"/>
          <w:sz w:val="32"/>
          <w:szCs w:val="32"/>
        </w:rPr>
        <w:t>、印刷费</w:t>
      </w:r>
      <w:r>
        <w:rPr>
          <w:rFonts w:hint="eastAsia" w:ascii="仿宋_GB2312" w:hAnsi="Times New Roman" w:eastAsia="仿宋_GB2312" w:cs="仿宋_GB2312"/>
          <w:color w:val="auto"/>
          <w:sz w:val="32"/>
          <w:szCs w:val="32"/>
          <w:lang w:val="en-US" w:eastAsia="zh-CN"/>
        </w:rPr>
        <w:t>2.05万元</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eastAsia="zh-CN"/>
        </w:rPr>
        <w:t>水费</w:t>
      </w:r>
      <w:r>
        <w:rPr>
          <w:rFonts w:hint="eastAsia" w:ascii="仿宋_GB2312" w:hAnsi="Times New Roman" w:eastAsia="仿宋_GB2312" w:cs="仿宋_GB2312"/>
          <w:color w:val="auto"/>
          <w:sz w:val="32"/>
          <w:szCs w:val="32"/>
          <w:lang w:val="en-US" w:eastAsia="zh-CN"/>
        </w:rPr>
        <w:t>0.3万元、取暖费74.48万元、物业费36万元、差旅费7.26万元、会议费10.6万元、培训费20万元、专用材料费32.28万元、工会经费0.1万元</w:t>
      </w:r>
      <w:r>
        <w:rPr>
          <w:rFonts w:hint="eastAsia" w:ascii="仿宋_GB2312" w:hAnsi="Times New Roman" w:eastAsia="仿宋_GB2312" w:cs="仿宋_GB2312"/>
          <w:color w:val="auto"/>
          <w:sz w:val="32"/>
          <w:szCs w:val="32"/>
        </w:rPr>
        <w:t>，较上年增</w:t>
      </w:r>
      <w:r>
        <w:rPr>
          <w:rFonts w:hint="eastAsia" w:ascii="仿宋_GB2312" w:hAnsi="Times New Roman" w:eastAsia="仿宋_GB2312" w:cs="仿宋_GB2312"/>
          <w:color w:val="auto"/>
          <w:sz w:val="32"/>
          <w:szCs w:val="32"/>
          <w:lang w:eastAsia="zh-CN"/>
        </w:rPr>
        <w:t>加</w:t>
      </w:r>
      <w:r>
        <w:rPr>
          <w:rFonts w:hint="eastAsia" w:ascii="仿宋_GB2312" w:hAnsi="Times New Roman" w:eastAsia="仿宋_GB2312" w:cs="仿宋_GB2312"/>
          <w:color w:val="auto"/>
          <w:sz w:val="32"/>
          <w:szCs w:val="32"/>
          <w:lang w:val="en-US"/>
        </w:rPr>
        <w:t>163.45</w:t>
      </w:r>
      <w:r>
        <w:rPr>
          <w:rFonts w:hint="eastAsia" w:ascii="仿宋_GB2312" w:hAnsi="Times New Roman" w:eastAsia="仿宋_GB2312" w:cs="仿宋_GB2312"/>
          <w:color w:val="auto"/>
          <w:sz w:val="32"/>
          <w:szCs w:val="32"/>
        </w:rPr>
        <w:t>万元，主要原因是：</w:t>
      </w:r>
      <w:r>
        <w:rPr>
          <w:rFonts w:hint="eastAsia" w:ascii="仿宋_GB2312" w:hAnsi="Times New Roman" w:eastAsia="仿宋_GB2312" w:cs="仿宋_GB2312"/>
          <w:color w:val="auto"/>
          <w:sz w:val="32"/>
          <w:szCs w:val="32"/>
          <w:lang w:val="en-US" w:eastAsia="zh-CN"/>
        </w:rPr>
        <w:t>2019年搬入新场馆，增加物业费和取暖费</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楷体" w:cs="Times New Roman"/>
          <w:color w:val="auto"/>
          <w:sz w:val="32"/>
          <w:szCs w:val="32"/>
          <w:lang w:val="en-US"/>
        </w:rPr>
      </w:pPr>
      <w:r>
        <w:rPr>
          <w:rFonts w:hint="eastAsia" w:ascii="楷体" w:hAnsi="Times New Roman" w:eastAsia="楷体" w:cs="楷体"/>
          <w:color w:val="auto"/>
          <w:sz w:val="32"/>
          <w:szCs w:val="32"/>
        </w:rPr>
        <w:t>（七）关于</w:t>
      </w:r>
      <w:r>
        <w:rPr>
          <w:rFonts w:hint="eastAsia" w:ascii="楷体" w:hAnsi="Times New Roman" w:eastAsia="楷体" w:cs="楷体"/>
          <w:color w:val="auto"/>
          <w:sz w:val="32"/>
          <w:szCs w:val="32"/>
          <w:lang w:val="en-US"/>
        </w:rPr>
        <w:t>2019</w:t>
      </w:r>
      <w:r>
        <w:rPr>
          <w:rFonts w:hint="eastAsia" w:ascii="楷体" w:hAnsi="Times New Roman" w:eastAsia="楷体" w:cs="楷体"/>
          <w:color w:val="auto"/>
          <w:sz w:val="32"/>
          <w:szCs w:val="32"/>
        </w:rPr>
        <w:t>年度财政拨款</w:t>
      </w:r>
      <w:r>
        <w:rPr>
          <w:rFonts w:hint="default" w:ascii="Times New Roman" w:hAnsi="Times New Roman" w:eastAsia="楷体" w:cs="Times New Roman"/>
          <w:color w:val="auto"/>
          <w:sz w:val="32"/>
          <w:szCs w:val="32"/>
          <w:lang w:val="en-US"/>
        </w:rPr>
        <w:t>“</w:t>
      </w:r>
      <w:r>
        <w:rPr>
          <w:rFonts w:hint="eastAsia" w:ascii="楷体" w:hAnsi="Times New Roman" w:eastAsia="楷体" w:cs="楷体"/>
          <w:color w:val="auto"/>
          <w:sz w:val="32"/>
          <w:szCs w:val="32"/>
        </w:rPr>
        <w:t>三公</w:t>
      </w:r>
      <w:r>
        <w:rPr>
          <w:rFonts w:hint="default" w:ascii="Times New Roman" w:hAnsi="Times New Roman" w:eastAsia="楷体" w:cs="Times New Roman"/>
          <w:color w:val="auto"/>
          <w:sz w:val="32"/>
          <w:szCs w:val="32"/>
          <w:lang w:val="en-US"/>
        </w:rPr>
        <w:t>”</w:t>
      </w:r>
      <w:r>
        <w:rPr>
          <w:rFonts w:hint="eastAsia" w:ascii="楷体" w:hAnsi="Times New Roman" w:eastAsia="楷体" w:cs="楷体"/>
          <w:color w:val="auto"/>
          <w:sz w:val="32"/>
          <w:szCs w:val="32"/>
        </w:rPr>
        <w:t>经费支出决算情况说明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lang w:val="en-US"/>
        </w:rPr>
        <w:t>1</w:t>
      </w:r>
      <w:r>
        <w:rPr>
          <w:rFonts w:hint="eastAsia" w:ascii="仿宋_GB2312" w:hAnsi="Times New Roman" w:eastAsia="仿宋_GB2312" w:cs="仿宋_GB2312"/>
          <w:color w:val="auto"/>
          <w:sz w:val="32"/>
          <w:szCs w:val="32"/>
        </w:rPr>
        <w:t>、财政拨款</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三公</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经费支出决算总体情况说明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eastAsia" w:ascii="仿宋_GB2312" w:hAnsi="Times New Roman" w:eastAsia="仿宋_GB2312" w:cs="仿宋_GB2312"/>
          <w:color w:val="auto"/>
          <w:sz w:val="32"/>
          <w:szCs w:val="32"/>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年度财政拨款</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三公</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经费预算为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万元，支出决算为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万元，完成预算的</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，其中：因公出国（境）费预算为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万元，支出决算为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万元，完成预算的</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；公务用车购置及运行维护费预算为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万元，支出决算为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万元，完成预算的</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；公务接待费预算为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万元，支出决算为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万元，完成预算的</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lang w:val="en-US"/>
        </w:rPr>
        <w:t>2</w:t>
      </w:r>
      <w:r>
        <w:rPr>
          <w:rFonts w:hint="eastAsia" w:ascii="仿宋_GB2312" w:hAnsi="Times New Roman" w:eastAsia="仿宋_GB2312" w:cs="仿宋_GB2312"/>
          <w:color w:val="auto"/>
          <w:sz w:val="32"/>
          <w:szCs w:val="32"/>
        </w:rPr>
        <w:t>、财政拨款</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三公</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经费支出决算具体情况说明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年度财政拨款</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三公</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经费支出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万元，因公出国（境）费支出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；公务用车购置及运行维护费支出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；公务接待费支出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。具体情况如下：</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b/>
          <w:color w:val="auto"/>
          <w:sz w:val="32"/>
          <w:szCs w:val="32"/>
        </w:rPr>
        <w:t>因公出国（境）费支出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万元。全年因公出国（境）团组</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个，累计</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人次。</w:t>
      </w:r>
      <w:bookmarkStart w:id="0" w:name="_GoBack"/>
      <w:bookmarkEnd w:id="0"/>
      <w:r>
        <w:rPr>
          <w:rFonts w:hint="eastAsia" w:ascii="仿宋_GB2312" w:hAnsi="Times New Roman" w:eastAsia="仿宋_GB2312" w:cs="仿宋_GB2312"/>
          <w:sz w:val="32"/>
          <w:szCs w:val="32"/>
        </w:rPr>
        <w:t>较上年</w:t>
      </w:r>
      <w:r>
        <w:rPr>
          <w:rFonts w:hint="eastAsia" w:ascii="仿宋_GB2312" w:hAnsi="Times New Roman" w:eastAsia="仿宋_GB2312" w:cs="仿宋_GB2312"/>
          <w:color w:val="auto"/>
          <w:sz w:val="32"/>
          <w:szCs w:val="32"/>
        </w:rPr>
        <w:t>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万元，主要原因是</w:t>
      </w:r>
      <w:r>
        <w:rPr>
          <w:rFonts w:hint="eastAsia" w:ascii="仿宋_GB2312" w:hAnsi="Times New Roman" w:eastAsia="仿宋_GB2312" w:cs="仿宋_GB2312"/>
          <w:color w:val="auto"/>
          <w:sz w:val="32"/>
          <w:szCs w:val="32"/>
          <w:lang w:eastAsia="zh-CN"/>
        </w:rPr>
        <w:t>本单位未发生此项业务</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b/>
          <w:color w:val="auto"/>
          <w:sz w:val="32"/>
          <w:szCs w:val="32"/>
        </w:rPr>
        <w:t>公务用车购置及运行维护费支出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万元。其中：公务用车购置支出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万元，车均购置费</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万元，较上年增加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万元。公务用车运行维护费支出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万元，车均运维费</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万元，较上年增加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万元，财政拨款开支的公务用车保有量为</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eastAsia" w:ascii="仿宋_GB2312" w:hAnsi="Times New Roman" w:eastAsia="仿宋_GB2312" w:cs="仿宋_GB2312"/>
          <w:color w:val="auto"/>
          <w:sz w:val="32"/>
          <w:szCs w:val="32"/>
          <w:lang w:eastAsia="zh-CN"/>
        </w:rPr>
      </w:pPr>
      <w:r>
        <w:rPr>
          <w:rFonts w:hint="eastAsia" w:ascii="仿宋_GB2312" w:hAnsi="Times New Roman" w:eastAsia="仿宋_GB2312" w:cs="仿宋_GB2312"/>
          <w:b/>
          <w:color w:val="auto"/>
          <w:sz w:val="32"/>
          <w:szCs w:val="32"/>
        </w:rPr>
        <w:t>公务接待费支出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万元。其中：国内公务接待费</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万元，接待</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批次，共接待</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人次。国（境）外接待费</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万元，接待</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批次，共接待</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人次。较上年增加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w:t>
      </w:r>
      <w:r>
        <w:rPr>
          <w:rFonts w:hint="eastAsia" w:ascii="仿宋_GB2312" w:hAnsi="Times New Roman" w:eastAsia="仿宋_GB2312" w:cs="仿宋_GB2312"/>
          <w:color w:val="auto"/>
          <w:sz w:val="32"/>
          <w:szCs w:val="32"/>
          <w:lang w:eastAsia="zh-CN"/>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仿宋_GB2312" w:hAnsi="Times New Roman" w:eastAsia="仿宋_GB2312" w:cs="仿宋_GB2312"/>
          <w:color w:val="auto"/>
          <w:sz w:val="32"/>
          <w:szCs w:val="32"/>
          <w:lang w:val="en-US" w:eastAsia="zh-CN"/>
        </w:rPr>
      </w:pPr>
      <w:r>
        <w:rPr>
          <w:rFonts w:hint="eastAsia" w:ascii="仿宋_GB2312" w:hAnsi="Times New Roman" w:eastAsia="仿宋_GB2312" w:cs="仿宋_GB2312"/>
          <w:color w:val="auto"/>
          <w:sz w:val="32"/>
          <w:szCs w:val="32"/>
          <w:lang w:val="en-US" w:eastAsia="zh-CN"/>
        </w:rPr>
        <w:t>我单位2019年未使用财政拨款支出“三公”经费，“三公”经费相关支出均通过自行筹措经营性收入进行弥补。与2018年相比，财政拨款“三公”经费支出增减变动为0,原因为无财政拨款支出的“三公”经费。</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三、预算绩效情况说明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（一）预算绩效管理工作开展情况</w:t>
      </w:r>
    </w:p>
    <w:p>
      <w:pPr>
        <w:spacing w:beforeLines="0" w:afterLines="0" w:line="580" w:lineRule="exact"/>
        <w:ind w:firstLine="600"/>
        <w:rPr>
          <w:rFonts w:hint="default" w:ascii="Times New Roman" w:hAnsi="Times New Roman" w:eastAsia="仿宋_GB2312" w:cs="Times New Roman"/>
          <w:color w:val="auto"/>
          <w:sz w:val="32"/>
          <w:szCs w:val="32"/>
          <w:lang w:val="en-US"/>
        </w:rPr>
      </w:pPr>
      <w:r>
        <w:rPr>
          <w:rFonts w:hint="eastAsia" w:ascii="仿宋_GB2312" w:hAnsi="仿宋_GB2312" w:eastAsia="仿宋_GB2312"/>
          <w:color w:val="auto"/>
          <w:sz w:val="32"/>
          <w:lang w:val="en-US" w:eastAsia="zh-CN"/>
        </w:rPr>
        <w:t>2019年，</w:t>
      </w:r>
      <w:r>
        <w:rPr>
          <w:rFonts w:hint="eastAsia" w:ascii="仿宋_GB2312" w:hAnsi="仿宋_GB2312" w:eastAsia="仿宋_GB2312"/>
          <w:color w:val="auto"/>
          <w:sz w:val="32"/>
        </w:rPr>
        <w:t>我单位以绩效目标实现为导向，进一步加强制度建设，提升自评质量，预算绩效管理取得新成效。一是抓好绩效目标编制，及时报送绩效目标。二是探索绩效跟踪监控，要求加强过程监控。三是深入开展财政支出绩效评价，对专项资金实施绩效自评和项目核查，在此基础上形成自评报告。四是强化评价结果应用，组织绩效自评和绩效跟踪监控，对发现的问题及时改进，加强评价结果与项目资金安排的衔接。五是健全绩效管理工作机制，明确职责分工，努力提高了绩效管理工作水平。</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（二）部门决算中项目绩效自评结果</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lang w:val="en-US" w:eastAsia="zh-CN"/>
        </w:rPr>
        <w:t>2019年，我单位无项目</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四、其他重要事项的情况说明</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（一）机关运行经费支出情况</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年度机关运行经费支出</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eastAsia="仿宋_GB2312" w:cs="仿宋_GB2312"/>
          <w:color w:val="auto"/>
          <w:sz w:val="32"/>
          <w:szCs w:val="32"/>
        </w:rPr>
        <w:t>（二）政府采购支出情况</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本部门</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年度政府采购支出合计</w:t>
      </w:r>
      <w:r>
        <w:rPr>
          <w:rFonts w:hint="eastAsia" w:ascii="仿宋_GB2312" w:hAnsi="Times New Roman" w:eastAsia="仿宋_GB2312" w:cs="仿宋_GB2312"/>
          <w:color w:val="auto"/>
          <w:sz w:val="32"/>
          <w:szCs w:val="32"/>
          <w:lang w:val="en-US"/>
        </w:rPr>
        <w:t>261.11</w:t>
      </w:r>
      <w:r>
        <w:rPr>
          <w:rFonts w:hint="eastAsia" w:ascii="仿宋_GB2312" w:hAnsi="Times New Roman" w:eastAsia="仿宋_GB2312" w:cs="仿宋_GB2312"/>
          <w:color w:val="auto"/>
          <w:sz w:val="32"/>
          <w:szCs w:val="32"/>
        </w:rPr>
        <w:t>万元，其中：政府采购货物支出</w:t>
      </w:r>
      <w:r>
        <w:rPr>
          <w:rFonts w:hint="eastAsia" w:ascii="仿宋_GB2312" w:hAnsi="Times New Roman" w:eastAsia="仿宋_GB2312" w:cs="仿宋_GB2312"/>
          <w:color w:val="auto"/>
          <w:sz w:val="32"/>
          <w:szCs w:val="32"/>
          <w:lang w:val="en-US"/>
        </w:rPr>
        <w:t>33.89</w:t>
      </w:r>
      <w:r>
        <w:rPr>
          <w:rFonts w:hint="eastAsia" w:ascii="仿宋_GB2312" w:hAnsi="Times New Roman" w:eastAsia="仿宋_GB2312" w:cs="仿宋_GB2312"/>
          <w:color w:val="auto"/>
          <w:sz w:val="32"/>
          <w:szCs w:val="32"/>
        </w:rPr>
        <w:t>万元</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33.89</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eastAsia="zh-CN"/>
        </w:rPr>
        <w:t>1</w:t>
      </w:r>
      <w:r>
        <w:rPr>
          <w:rFonts w:hint="eastAsia" w:ascii="仿宋_GB2312" w:hAnsi="Times New Roman" w:eastAsia="仿宋_GB2312" w:cs="仿宋_GB2312"/>
          <w:color w:val="auto"/>
          <w:sz w:val="32"/>
          <w:szCs w:val="32"/>
          <w:lang w:val="en-US"/>
        </w:rPr>
        <w:t>00%</w:t>
      </w:r>
      <w:r>
        <w:rPr>
          <w:rFonts w:hint="eastAsia" w:ascii="仿宋_GB2312" w:hAnsi="Times New Roman" w:eastAsia="仿宋_GB2312" w:cs="仿宋_GB2312"/>
          <w:color w:val="auto"/>
          <w:sz w:val="32"/>
          <w:szCs w:val="32"/>
        </w:rPr>
        <w:t>；政府采购工程支出</w:t>
      </w:r>
      <w:r>
        <w:rPr>
          <w:rFonts w:hint="eastAsia" w:ascii="仿宋_GB2312" w:hAnsi="Times New Roman" w:eastAsia="仿宋_GB2312" w:cs="仿宋_GB2312"/>
          <w:color w:val="auto"/>
          <w:sz w:val="32"/>
          <w:szCs w:val="32"/>
          <w:lang w:val="en-US"/>
        </w:rPr>
        <w:t>11.22</w:t>
      </w:r>
      <w:r>
        <w:rPr>
          <w:rFonts w:hint="eastAsia" w:ascii="仿宋_GB2312" w:hAnsi="Times New Roman" w:eastAsia="仿宋_GB2312" w:cs="仿宋_GB2312"/>
          <w:color w:val="auto"/>
          <w:sz w:val="32"/>
          <w:szCs w:val="32"/>
        </w:rPr>
        <w:t>万元，比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11.22</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eastAsia="zh-CN"/>
        </w:rPr>
        <w:t>1</w:t>
      </w:r>
      <w:r>
        <w:rPr>
          <w:rFonts w:hint="eastAsia" w:ascii="仿宋_GB2312" w:hAnsi="Times New Roman" w:eastAsia="仿宋_GB2312" w:cs="仿宋_GB2312"/>
          <w:color w:val="auto"/>
          <w:sz w:val="32"/>
          <w:szCs w:val="32"/>
          <w:lang w:val="en-US"/>
        </w:rPr>
        <w:t>00%</w:t>
      </w:r>
      <w:r>
        <w:rPr>
          <w:rFonts w:hint="eastAsia" w:ascii="仿宋_GB2312" w:hAnsi="Times New Roman" w:eastAsia="仿宋_GB2312" w:cs="仿宋_GB2312"/>
          <w:color w:val="auto"/>
          <w:sz w:val="32"/>
          <w:szCs w:val="32"/>
        </w:rPr>
        <w:t>；政府采购服务支出</w:t>
      </w:r>
      <w:r>
        <w:rPr>
          <w:rFonts w:hint="eastAsia" w:ascii="仿宋_GB2312" w:hAnsi="Times New Roman" w:eastAsia="仿宋_GB2312" w:cs="仿宋_GB2312"/>
          <w:color w:val="auto"/>
          <w:sz w:val="32"/>
          <w:szCs w:val="32"/>
          <w:lang w:val="en-US"/>
        </w:rPr>
        <w:t>216.00</w:t>
      </w:r>
      <w:r>
        <w:rPr>
          <w:rFonts w:hint="eastAsia" w:ascii="仿宋_GB2312" w:hAnsi="Times New Roman" w:eastAsia="仿宋_GB2312" w:cs="仿宋_GB2312"/>
          <w:color w:val="auto"/>
          <w:sz w:val="32"/>
          <w:szCs w:val="32"/>
        </w:rPr>
        <w:t>万元，比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216.00</w:t>
      </w:r>
      <w:r>
        <w:rPr>
          <w:rFonts w:hint="eastAsia" w:ascii="仿宋_GB2312" w:hAnsi="Times New Roman" w:eastAsia="仿宋_GB2312" w:cs="仿宋_GB2312"/>
          <w:color w:val="auto"/>
          <w:sz w:val="32"/>
          <w:szCs w:val="32"/>
        </w:rPr>
        <w:t>万元，增长</w:t>
      </w:r>
      <w:r>
        <w:rPr>
          <w:rFonts w:hint="eastAsia" w:ascii="仿宋_GB2312" w:hAnsi="Times New Roman" w:eastAsia="仿宋_GB2312" w:cs="仿宋_GB2312"/>
          <w:color w:val="auto"/>
          <w:sz w:val="32"/>
          <w:szCs w:val="32"/>
          <w:lang w:val="en-US" w:eastAsia="zh-CN"/>
        </w:rPr>
        <w:t>1</w:t>
      </w:r>
      <w:r>
        <w:rPr>
          <w:rFonts w:hint="eastAsia" w:ascii="仿宋_GB2312" w:hAnsi="Times New Roman" w:eastAsia="仿宋_GB2312" w:cs="仿宋_GB2312"/>
          <w:color w:val="auto"/>
          <w:sz w:val="32"/>
          <w:szCs w:val="32"/>
          <w:lang w:val="en-US"/>
        </w:rPr>
        <w:t>00%</w:t>
      </w:r>
      <w:r>
        <w:rPr>
          <w:rFonts w:hint="eastAsia" w:ascii="仿宋_GB2312" w:hAnsi="Times New Roman" w:eastAsia="仿宋_GB2312" w:cs="仿宋_GB2312"/>
          <w:color w:val="auto"/>
          <w:sz w:val="32"/>
          <w:szCs w:val="32"/>
        </w:rPr>
        <w:t>，主要原因是：</w:t>
      </w:r>
      <w:r>
        <w:rPr>
          <w:rFonts w:hint="eastAsia" w:ascii="仿宋_GB2312" w:hAnsi="Times New Roman" w:eastAsia="仿宋_GB2312" w:cs="仿宋_GB2312"/>
          <w:color w:val="auto"/>
          <w:sz w:val="32"/>
          <w:szCs w:val="32"/>
          <w:lang w:val="en-US" w:eastAsia="zh-CN"/>
        </w:rPr>
        <w:t>2018年无政府采购支出，2019年搬入新场馆后新增了政府采购支出</w:t>
      </w:r>
      <w:r>
        <w:rPr>
          <w:rFonts w:hint="eastAsia" w:ascii="仿宋_GB2312" w:hAnsi="Times New Roman" w:eastAsia="仿宋_GB2312" w:cs="仿宋_GB2312"/>
          <w:color w:val="auto"/>
          <w:sz w:val="32"/>
          <w:szCs w:val="32"/>
        </w:rPr>
        <w:t>。授予中小企业合同金额</w:t>
      </w:r>
      <w:r>
        <w:rPr>
          <w:rFonts w:hint="eastAsia" w:ascii="仿宋_GB2312" w:hAnsi="Times New Roman" w:eastAsia="仿宋_GB2312" w:cs="仿宋_GB2312"/>
          <w:color w:val="auto"/>
          <w:sz w:val="32"/>
          <w:szCs w:val="32"/>
          <w:lang w:val="en-US"/>
        </w:rPr>
        <w:t>261.11</w:t>
      </w:r>
      <w:r>
        <w:rPr>
          <w:rFonts w:hint="eastAsia" w:ascii="仿宋_GB2312" w:hAnsi="Times New Roman" w:eastAsia="仿宋_GB2312" w:cs="仿宋_GB2312"/>
          <w:color w:val="auto"/>
          <w:sz w:val="32"/>
          <w:szCs w:val="32"/>
        </w:rPr>
        <w:t>万元，占政府采购支出总额的</w:t>
      </w:r>
      <w:r>
        <w:rPr>
          <w:rFonts w:hint="eastAsia" w:ascii="仿宋_GB2312" w:hAnsi="Times New Roman" w:eastAsia="仿宋_GB2312" w:cs="仿宋_GB2312"/>
          <w:color w:val="auto"/>
          <w:sz w:val="32"/>
          <w:szCs w:val="32"/>
          <w:lang w:val="en-US" w:eastAsia="zh-CN"/>
        </w:rPr>
        <w:t>100</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。其中：授予小微企业合同金额</w:t>
      </w:r>
      <w:r>
        <w:rPr>
          <w:rFonts w:hint="eastAsia" w:ascii="仿宋_GB2312" w:hAnsi="Times New Roman" w:eastAsia="仿宋_GB2312" w:cs="仿宋_GB2312"/>
          <w:color w:val="auto"/>
          <w:sz w:val="32"/>
          <w:szCs w:val="32"/>
          <w:lang w:val="en-US"/>
        </w:rPr>
        <w:t>261.11</w:t>
      </w:r>
      <w:r>
        <w:rPr>
          <w:rFonts w:hint="eastAsia" w:ascii="仿宋_GB2312" w:hAnsi="Times New Roman" w:eastAsia="仿宋_GB2312" w:cs="仿宋_GB2312"/>
          <w:color w:val="auto"/>
          <w:sz w:val="32"/>
          <w:szCs w:val="32"/>
        </w:rPr>
        <w:t>万元，占政府采购支出总额的</w:t>
      </w:r>
      <w:r>
        <w:rPr>
          <w:rFonts w:hint="eastAsia" w:ascii="仿宋_GB2312" w:hAnsi="Times New Roman" w:eastAsia="仿宋_GB2312" w:cs="仿宋_GB2312"/>
          <w:color w:val="auto"/>
          <w:sz w:val="32"/>
          <w:szCs w:val="32"/>
          <w:lang w:val="en-US" w:eastAsia="zh-CN"/>
        </w:rPr>
        <w:t>100</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（三）国有资产占用情况</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sz w:val="32"/>
          <w:szCs w:val="32"/>
          <w:lang w:val="en-US"/>
        </w:rPr>
      </w:pPr>
      <w:r>
        <w:rPr>
          <w:rFonts w:hint="eastAsia" w:ascii="仿宋_GB2312" w:hAnsi="Times New Roman" w:eastAsia="仿宋_GB2312" w:cs="仿宋_GB2312"/>
          <w:color w:val="auto"/>
          <w:sz w:val="32"/>
          <w:szCs w:val="32"/>
        </w:rPr>
        <w:t>截至</w:t>
      </w:r>
      <w:r>
        <w:rPr>
          <w:rFonts w:hint="eastAsia" w:ascii="仿宋_GB2312" w:hAnsi="Times New Roman" w:eastAsia="仿宋_GB2312" w:cs="仿宋_GB2312"/>
          <w:color w:val="auto"/>
          <w:sz w:val="32"/>
          <w:szCs w:val="32"/>
          <w:lang w:val="en-US"/>
        </w:rPr>
        <w:t>2019</w:t>
      </w:r>
      <w:r>
        <w:rPr>
          <w:rFonts w:hint="eastAsia" w:ascii="仿宋_GB2312" w:hAnsi="Times New Roman" w:eastAsia="仿宋_GB2312" w:cs="仿宋_GB2312"/>
          <w:color w:val="auto"/>
          <w:sz w:val="32"/>
          <w:szCs w:val="32"/>
        </w:rPr>
        <w:t>年</w:t>
      </w:r>
      <w:r>
        <w:rPr>
          <w:rFonts w:hint="eastAsia" w:ascii="仿宋_GB2312" w:hAnsi="Times New Roman" w:eastAsia="仿宋_GB2312" w:cs="仿宋_GB2312"/>
          <w:color w:val="auto"/>
          <w:sz w:val="32"/>
          <w:szCs w:val="32"/>
          <w:lang w:val="en-US"/>
        </w:rPr>
        <w:t>12</w:t>
      </w:r>
      <w:r>
        <w:rPr>
          <w:rFonts w:hint="eastAsia" w:ascii="仿宋_GB2312" w:hAnsi="Times New Roman" w:eastAsia="仿宋_GB2312" w:cs="仿宋_GB2312"/>
          <w:color w:val="auto"/>
          <w:sz w:val="32"/>
          <w:szCs w:val="32"/>
        </w:rPr>
        <w:t>月</w:t>
      </w:r>
      <w:r>
        <w:rPr>
          <w:rFonts w:hint="eastAsia" w:ascii="仿宋_GB2312" w:hAnsi="Times New Roman" w:eastAsia="仿宋_GB2312" w:cs="仿宋_GB2312"/>
          <w:color w:val="auto"/>
          <w:sz w:val="32"/>
          <w:szCs w:val="32"/>
          <w:lang w:val="en-US"/>
        </w:rPr>
        <w:t>31</w:t>
      </w:r>
      <w:r>
        <w:rPr>
          <w:rFonts w:hint="eastAsia" w:ascii="仿宋_GB2312" w:hAnsi="Times New Roman" w:eastAsia="仿宋_GB2312" w:cs="仿宋_GB2312"/>
          <w:color w:val="auto"/>
          <w:sz w:val="32"/>
          <w:szCs w:val="32"/>
        </w:rPr>
        <w:t>日，本部门共有车辆</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辆，其中，副部（省）级及以上领导用车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主要领导干部用车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机要通信用车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应急保障用车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执法执勤用车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rPr>
        <w:t>；特种专业技术用车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辆；离退休干部用车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辆；其他用车</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辆。单位价值</w:t>
      </w:r>
      <w:r>
        <w:rPr>
          <w:rFonts w:hint="eastAsia" w:ascii="仿宋_GB2312" w:hAnsi="Times New Roman" w:eastAsia="仿宋_GB2312" w:cs="仿宋_GB2312"/>
          <w:color w:val="auto"/>
          <w:sz w:val="32"/>
          <w:szCs w:val="32"/>
          <w:lang w:val="en-US"/>
        </w:rPr>
        <w:t>50</w:t>
      </w:r>
      <w:r>
        <w:rPr>
          <w:rFonts w:hint="eastAsia" w:ascii="仿宋_GB2312" w:hAnsi="Times New Roman" w:eastAsia="仿宋_GB2312" w:cs="仿宋_GB2312"/>
          <w:color w:val="auto"/>
          <w:sz w:val="32"/>
          <w:szCs w:val="32"/>
        </w:rPr>
        <w:t>万元以上通用设备</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台（套），比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台（套）</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单位价值</w:t>
      </w:r>
      <w:r>
        <w:rPr>
          <w:rFonts w:hint="eastAsia" w:ascii="仿宋_GB2312" w:hAnsi="Times New Roman" w:eastAsia="仿宋_GB2312" w:cs="仿宋_GB2312"/>
          <w:color w:val="auto"/>
          <w:sz w:val="32"/>
          <w:szCs w:val="32"/>
          <w:lang w:val="en-US"/>
        </w:rPr>
        <w:t>100</w:t>
      </w:r>
      <w:r>
        <w:rPr>
          <w:rFonts w:hint="eastAsia" w:ascii="仿宋_GB2312" w:hAnsi="Times New Roman" w:eastAsia="仿宋_GB2312" w:cs="仿宋_GB2312"/>
          <w:color w:val="auto"/>
          <w:sz w:val="32"/>
          <w:szCs w:val="32"/>
        </w:rPr>
        <w:t>万元以上专用设备</w:t>
      </w:r>
      <w:r>
        <w:rPr>
          <w:rFonts w:hint="eastAsia" w:ascii="仿宋_GB2312" w:hAnsi="Times New Roman" w:eastAsia="仿宋_GB2312" w:cs="仿宋_GB2312"/>
          <w:color w:val="auto"/>
          <w:sz w:val="32"/>
          <w:szCs w:val="32"/>
          <w:lang w:val="en-US"/>
        </w:rPr>
        <w:t>0</w:t>
      </w:r>
      <w:r>
        <w:rPr>
          <w:rFonts w:hint="eastAsia" w:ascii="仿宋_GB2312" w:hAnsi="Times New Roman" w:eastAsia="仿宋_GB2312" w:cs="仿宋_GB2312"/>
          <w:color w:val="auto"/>
          <w:sz w:val="32"/>
          <w:szCs w:val="32"/>
        </w:rPr>
        <w:t>台（套），比</w:t>
      </w:r>
      <w:r>
        <w:rPr>
          <w:rFonts w:hint="eastAsia" w:ascii="仿宋_GB2312" w:hAnsi="Times New Roman" w:eastAsia="仿宋_GB2312" w:cs="仿宋_GB2312"/>
          <w:color w:val="auto"/>
          <w:sz w:val="32"/>
          <w:szCs w:val="32"/>
          <w:lang w:val="en-US"/>
        </w:rPr>
        <w:t>2018</w:t>
      </w:r>
      <w:r>
        <w:rPr>
          <w:rFonts w:hint="eastAsia" w:ascii="仿宋_GB2312" w:hAnsi="Times New Roman" w:eastAsia="仿宋_GB2312" w:cs="仿宋_GB2312"/>
          <w:color w:val="auto"/>
          <w:sz w:val="32"/>
          <w:szCs w:val="32"/>
        </w:rPr>
        <w:t>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台（套）。</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b/>
          <w:sz w:val="32"/>
          <w:szCs w:val="32"/>
          <w:lang w:val="en-US"/>
        </w:rPr>
      </w:pPr>
      <w:r>
        <w:rPr>
          <w:rFonts w:hint="eastAsia" w:ascii="仿宋_GB2312" w:hAnsi="Times New Roman" w:eastAsia="仿宋_GB2312" w:cs="仿宋_GB2312"/>
          <w:b/>
          <w:sz w:val="32"/>
          <w:szCs w:val="32"/>
        </w:rPr>
        <w:t>第三部分 名词解释</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（一）财政拨款收入：指本年度从本级财政部门取得的财政拨款，包括一般公共预算财政拨款和政府性基金预算财政拨款。</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（二）事业收入：指事业单位开展专业业务活动及其辅助活动取得的收入；事业单位收到的财政专户实际核拨的教育收费等资金。</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（三）经营收入：指事业单位在专业业务活动及其辅助活动之外开展非独立核算经营活动取得的收入。</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（五）用事业基金弥补收支差额：指事业单位在当年的</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财政拨款收入</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财政拨款结转和结余资金</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事业收入</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事业单位经营收入</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其他收入</w:t>
      </w:r>
      <w:r>
        <w:rPr>
          <w:rFonts w:hint="default" w:ascii="仿宋_GB2312" w:hAnsi="Times New Roman" w:eastAsia="仿宋_GB2312" w:cs="仿宋_GB2312"/>
          <w:sz w:val="32"/>
          <w:szCs w:val="32"/>
          <w:lang w:val="en-US"/>
        </w:rPr>
        <w:t>”</w:t>
      </w:r>
      <w:r>
        <w:rPr>
          <w:rFonts w:hint="eastAsia" w:ascii="仿宋_GB2312" w:hAnsi="Times New Roman" w:eastAsia="仿宋_GB2312" w:cs="仿宋_GB2312"/>
          <w:sz w:val="32"/>
          <w:szCs w:val="32"/>
        </w:rPr>
        <w:t>不足以安排当年支出的情况下，使用以前年度累积的事业基金（当年收支相抵后按国家规定提取、用于弥补以后年度收支差额的基金）弥补本年收支缺口的资金。</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（六）年初结转和结余：</w:t>
      </w:r>
      <w:r>
        <w:rPr>
          <w:rFonts w:hint="eastAsia" w:ascii="仿宋_GB2312" w:hAnsi="Times New Roman" w:eastAsia="仿宋_GB2312" w:cs="仿宋_GB2312"/>
          <w:sz w:val="32"/>
          <w:szCs w:val="32"/>
          <w:highlight w:val="white"/>
        </w:rPr>
        <w:t>指以前年度支出预算因客观条件变化未执行完毕、结转到本年度按有关规定继续使用的资金。</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（七）结余分配</w:t>
      </w:r>
      <w:r>
        <w:rPr>
          <w:rFonts w:hint="eastAsia" w:ascii="仿宋_GB2312" w:hAnsi="Times New Roman" w:eastAsia="仿宋_GB2312" w:cs="仿宋_GB2312"/>
          <w:sz w:val="32"/>
          <w:szCs w:val="32"/>
          <w:highlight w:val="white"/>
        </w:rPr>
        <w:t>：指事业单位按照会计制度规定缴纳的所得税以及从非财政拨款结余中提取的职工福利基金、事业基金等。</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（八）年末结转和结余</w:t>
      </w:r>
      <w:r>
        <w:rPr>
          <w:rFonts w:hint="eastAsia" w:ascii="仿宋_GB2312" w:hAnsi="Times New Roman" w:eastAsia="仿宋_GB2312" w:cs="仿宋_GB2312"/>
          <w:sz w:val="32"/>
          <w:szCs w:val="32"/>
          <w:highlight w:val="white"/>
        </w:rPr>
        <w:t>：指单位本年度或以前年度预算安排、因客观条件发生变化未全部执行或未执行，结转到以后年度继续使用的资金，或项目已完成等产生的结余资金。</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（九）基本支出：指为保障机构正常运转、完成日常工作任务而发生的人员经费和公用经费。其中：人员经费指政府收支分类经济科目中的</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工资福利支出</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和</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对个人和家庭的补助</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；公用经费指政府收支分类经济科目中除</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工资福利支出</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和</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对个人和家庭的补助</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外的其他支出。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（十）项目支出：指在基本支出之外为完成特定任务和事业发展目标所发生的支出。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（十一）经营支出：指事业单位在专业业务活动及其辅助活动之外开展非独立核算经营活动发生的支出。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（十二）</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eastAsia" w:ascii="仿宋_GB2312" w:hAnsi="Times New Roman" w:eastAsia="仿宋_GB2312" w:cs="仿宋_GB2312"/>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（十四）工资福利支出（支出经济分类科目类级）：反映单位开支的在职职工和编制外长期聘用人员的各类劳动报酬，以及为上述人员缴纳的各项社会保险费等。</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（十五）商品和服务支出（支出经济分类科目类级）：反映单位购买商品和服务的支出（不包括用于购置固定资产的支出、战略性和应急储备支出）。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（十六）对个人和家庭的补助（支出经济分类科目类级）：反映用于对个人和家庭的补助支出。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b/>
          <w:sz w:val="32"/>
          <w:szCs w:val="32"/>
          <w:lang w:val="en-US"/>
        </w:rPr>
      </w:pPr>
      <w:r>
        <w:rPr>
          <w:rFonts w:hint="eastAsia" w:ascii="仿宋_GB2312" w:hAnsi="Times New Roman" w:eastAsia="仿宋_GB2312" w:cs="仿宋_GB2312"/>
          <w:b/>
          <w:sz w:val="32"/>
          <w:szCs w:val="32"/>
        </w:rPr>
        <w:t>第四部分 决算公开联系方式及信息反馈渠道</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sz w:val="32"/>
          <w:szCs w:val="32"/>
          <w:lang w:val="en-US"/>
        </w:rPr>
      </w:pPr>
      <w:r>
        <w:rPr>
          <w:rFonts w:hint="eastAsia" w:ascii="仿宋_GB2312" w:hAnsi="Times New Roman" w:eastAsia="仿宋_GB2312" w:cs="仿宋_GB2312"/>
          <w:sz w:val="32"/>
          <w:szCs w:val="32"/>
        </w:rPr>
        <w:t>本单位决算公开信息反馈和联系方式：</w:t>
      </w:r>
    </w:p>
    <w:p>
      <w:pPr>
        <w:keepNext w:val="0"/>
        <w:keepLines w:val="0"/>
        <w:widowControl/>
        <w:suppressLineNumbers w:val="0"/>
        <w:autoSpaceDE w:val="0"/>
        <w:autoSpaceDN w:val="0"/>
        <w:adjustRightInd w:val="0"/>
        <w:spacing w:before="0" w:beforeAutospacing="1" w:after="0" w:afterAutospacing="1" w:line="580" w:lineRule="exact"/>
        <w:ind w:left="0" w:right="0" w:firstLine="600"/>
        <w:rPr>
          <w:rFonts w:hint="default" w:ascii="Times New Roman" w:hAnsi="Times New Roman" w:eastAsia="仿宋_GB2312" w:cs="Times New Roman"/>
          <w:color w:val="auto"/>
          <w:kern w:val="0"/>
          <w:sz w:val="18"/>
          <w:szCs w:val="18"/>
          <w:lang w:val="zh-CN"/>
        </w:rPr>
      </w:pPr>
      <w:r>
        <w:rPr>
          <w:rFonts w:hint="eastAsia" w:ascii="仿宋_GB2312" w:hAnsi="Times New Roman" w:eastAsia="仿宋_GB2312" w:cs="仿宋_GB2312"/>
          <w:sz w:val="32"/>
          <w:szCs w:val="32"/>
        </w:rPr>
        <w:t>联系人：</w:t>
      </w:r>
      <w:r>
        <w:rPr>
          <w:rFonts w:hint="eastAsia" w:ascii="仿宋_GB2312" w:hAnsi="Times New Roman" w:eastAsia="仿宋_GB2312" w:cs="仿宋_GB2312"/>
          <w:color w:val="auto"/>
          <w:sz w:val="32"/>
          <w:szCs w:val="32"/>
          <w:lang w:val="en-US"/>
        </w:rPr>
        <w:t xml:space="preserve">李英    </w:t>
      </w:r>
      <w:r>
        <w:rPr>
          <w:rFonts w:hint="eastAsia" w:ascii="仿宋_GB2312" w:hAnsi="Times New Roman" w:eastAsia="仿宋_GB2312" w:cs="仿宋_GB2312"/>
          <w:color w:val="auto"/>
          <w:sz w:val="32"/>
          <w:szCs w:val="32"/>
        </w:rPr>
        <w:t>联系电话：</w:t>
      </w:r>
      <w:r>
        <w:rPr>
          <w:rFonts w:hint="eastAsia" w:ascii="仿宋_GB2312" w:hAnsi="Times New Roman" w:eastAsia="仿宋_GB2312" w:cs="仿宋_GB2312"/>
          <w:color w:val="auto"/>
          <w:sz w:val="32"/>
          <w:szCs w:val="32"/>
          <w:lang w:val="en-US"/>
        </w:rPr>
        <w:t>0470</w:t>
      </w:r>
      <w:r>
        <w:rPr>
          <w:rFonts w:hint="default" w:ascii="Times New Roman" w:hAnsi="Times New Roman" w:eastAsia="仿宋_GB2312" w:cs="Times New Roman"/>
          <w:color w:val="auto"/>
          <w:sz w:val="32"/>
          <w:szCs w:val="32"/>
          <w:lang w:val="en-US"/>
        </w:rPr>
        <w:t>-</w:t>
      </w:r>
      <w:r>
        <w:rPr>
          <w:rFonts w:hint="eastAsia" w:ascii="仿宋_GB2312" w:hAnsi="Times New Roman" w:eastAsia="仿宋_GB2312" w:cs="仿宋_GB2312"/>
          <w:color w:val="auto"/>
          <w:sz w:val="32"/>
          <w:szCs w:val="32"/>
          <w:lang w:val="en-US"/>
        </w:rPr>
        <w:t>3980105</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C96DEC"/>
    <w:rsid w:val="008356C3"/>
    <w:rsid w:val="01E96F78"/>
    <w:rsid w:val="02A118C0"/>
    <w:rsid w:val="02EF4CD6"/>
    <w:rsid w:val="0A9A2DD9"/>
    <w:rsid w:val="0C030AB6"/>
    <w:rsid w:val="0ED252B1"/>
    <w:rsid w:val="168F3513"/>
    <w:rsid w:val="1AB650A7"/>
    <w:rsid w:val="1AD60123"/>
    <w:rsid w:val="22A23958"/>
    <w:rsid w:val="276F6950"/>
    <w:rsid w:val="29C35410"/>
    <w:rsid w:val="32C96DEC"/>
    <w:rsid w:val="340B42FB"/>
    <w:rsid w:val="344C618A"/>
    <w:rsid w:val="35276077"/>
    <w:rsid w:val="3A0B6C87"/>
    <w:rsid w:val="3A920D63"/>
    <w:rsid w:val="3C9245E1"/>
    <w:rsid w:val="3DEF59AF"/>
    <w:rsid w:val="42D3303F"/>
    <w:rsid w:val="43162759"/>
    <w:rsid w:val="491F0A11"/>
    <w:rsid w:val="498A5A25"/>
    <w:rsid w:val="4ADF6D22"/>
    <w:rsid w:val="4B564953"/>
    <w:rsid w:val="4E636110"/>
    <w:rsid w:val="53FD3048"/>
    <w:rsid w:val="55543789"/>
    <w:rsid w:val="55F43959"/>
    <w:rsid w:val="5B2D665D"/>
    <w:rsid w:val="71A67B70"/>
    <w:rsid w:val="7AC25A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2020-09-03T02:43:00Z</dcterms:created>
  <dc:creator>lenovo</dc:creator>
  <cp:lastModifiedBy>清0杯0</cp:lastModifiedBy>
  <dcterms:modified xsi:type="dcterms:W3CDTF">2020-09-09T01:47:28Z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